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D6" w:rsidRPr="00E32A46" w:rsidRDefault="00E53B6A" w:rsidP="003F3728">
      <w:pPr>
        <w:widowControl/>
        <w:adjustRightInd w:val="0"/>
        <w:snapToGrid w:val="0"/>
        <w:jc w:val="center"/>
        <w:rPr>
          <w:rFonts w:ascii="Times New Roman" w:eastAsia="標楷體" w:hAnsi="Times New Roman"/>
          <w:b/>
          <w:bCs/>
          <w:snapToGrid w:val="0"/>
          <w:kern w:val="0"/>
          <w:sz w:val="36"/>
          <w:szCs w:val="36"/>
        </w:rPr>
      </w:pPr>
      <w:bookmarkStart w:id="0" w:name="_GoBack"/>
      <w:bookmarkEnd w:id="0"/>
      <w:r>
        <w:rPr>
          <w:rFonts w:ascii="Times New Roman" w:eastAsia="標楷體" w:hAnsi="Times New Roman" w:hint="eastAsia"/>
          <w:b/>
          <w:bCs/>
          <w:snapToGrid w:val="0"/>
          <w:kern w:val="0"/>
          <w:sz w:val="36"/>
          <w:szCs w:val="36"/>
        </w:rPr>
        <w:t>10</w:t>
      </w:r>
      <w:r w:rsidR="004772D4">
        <w:rPr>
          <w:rFonts w:ascii="Times New Roman" w:eastAsia="標楷體" w:hAnsi="Times New Roman"/>
          <w:b/>
          <w:bCs/>
          <w:snapToGrid w:val="0"/>
          <w:kern w:val="0"/>
          <w:sz w:val="36"/>
          <w:szCs w:val="36"/>
        </w:rPr>
        <w:t>8</w:t>
      </w:r>
      <w:r w:rsidR="00B64E77" w:rsidRPr="00E32A46">
        <w:rPr>
          <w:rFonts w:ascii="Times New Roman" w:eastAsia="標楷體" w:hAnsi="Times New Roman"/>
          <w:b/>
          <w:bCs/>
          <w:snapToGrid w:val="0"/>
          <w:kern w:val="0"/>
          <w:sz w:val="36"/>
          <w:szCs w:val="36"/>
        </w:rPr>
        <w:t>年</w:t>
      </w:r>
      <w:r w:rsidR="00B43E4E">
        <w:rPr>
          <w:rFonts w:ascii="Times New Roman" w:eastAsia="標楷體" w:hAnsi="Times New Roman" w:hint="eastAsia"/>
          <w:b/>
          <w:bCs/>
          <w:snapToGrid w:val="0"/>
          <w:kern w:val="0"/>
          <w:sz w:val="36"/>
          <w:szCs w:val="36"/>
        </w:rPr>
        <w:t>度</w:t>
      </w:r>
      <w:r w:rsidR="0094683C" w:rsidRPr="00E32A46">
        <w:rPr>
          <w:rFonts w:ascii="Times New Roman" w:eastAsia="標楷體" w:hAnsi="Times New Roman"/>
          <w:b/>
          <w:bCs/>
          <w:snapToGrid w:val="0"/>
          <w:kern w:val="0"/>
          <w:sz w:val="36"/>
          <w:szCs w:val="36"/>
        </w:rPr>
        <w:t>精神</w:t>
      </w:r>
      <w:r w:rsidR="00E32A46">
        <w:rPr>
          <w:rFonts w:ascii="Times New Roman" w:eastAsia="標楷體" w:hAnsi="Times New Roman" w:hint="eastAsia"/>
          <w:b/>
          <w:bCs/>
          <w:snapToGrid w:val="0"/>
          <w:kern w:val="0"/>
          <w:sz w:val="36"/>
          <w:szCs w:val="36"/>
        </w:rPr>
        <w:t>科</w:t>
      </w:r>
      <w:r w:rsidR="005203D6" w:rsidRPr="00E32A46">
        <w:rPr>
          <w:rFonts w:ascii="Times New Roman" w:eastAsia="標楷體" w:hAnsi="Times New Roman"/>
          <w:b/>
          <w:bCs/>
          <w:snapToGrid w:val="0"/>
          <w:kern w:val="0"/>
          <w:sz w:val="36"/>
          <w:szCs w:val="36"/>
        </w:rPr>
        <w:t>醫院評鑑「可免評條文」確認表</w:t>
      </w:r>
    </w:p>
    <w:p w:rsidR="005203D6" w:rsidRPr="00E32A46" w:rsidRDefault="0094683C" w:rsidP="00E32A46">
      <w:pPr>
        <w:widowControl/>
        <w:adjustRightInd w:val="0"/>
        <w:snapToGrid w:val="0"/>
        <w:jc w:val="center"/>
        <w:rPr>
          <w:rFonts w:ascii="Times New Roman" w:eastAsia="標楷體" w:hAnsi="Times New Roman"/>
          <w:b/>
          <w:bCs/>
          <w:snapToGrid w:val="0"/>
          <w:kern w:val="0"/>
          <w:sz w:val="36"/>
          <w:szCs w:val="36"/>
        </w:rPr>
      </w:pPr>
      <w:r w:rsidRPr="00E32A46">
        <w:rPr>
          <w:rFonts w:ascii="Times New Roman" w:eastAsia="標楷體" w:hAnsi="Times New Roman"/>
          <w:b/>
          <w:bCs/>
          <w:snapToGrid w:val="0"/>
          <w:kern w:val="0"/>
          <w:sz w:val="36"/>
          <w:szCs w:val="36"/>
        </w:rPr>
        <w:t>總</w:t>
      </w:r>
      <w:r w:rsidR="005203D6" w:rsidRPr="00E32A46">
        <w:rPr>
          <w:rFonts w:ascii="Times New Roman" w:eastAsia="標楷體" w:hAnsi="Times New Roman"/>
          <w:b/>
          <w:bCs/>
          <w:snapToGrid w:val="0"/>
          <w:kern w:val="0"/>
          <w:sz w:val="36"/>
          <w:szCs w:val="36"/>
        </w:rPr>
        <w:t>病床</w:t>
      </w:r>
      <w:r w:rsidR="0078498A">
        <w:rPr>
          <w:rFonts w:ascii="Times New Roman" w:eastAsia="標楷體" w:hAnsi="Times New Roman" w:hint="eastAsia"/>
          <w:b/>
          <w:bCs/>
          <w:snapToGrid w:val="0"/>
          <w:kern w:val="0"/>
          <w:sz w:val="36"/>
          <w:szCs w:val="36"/>
        </w:rPr>
        <w:t>100</w:t>
      </w:r>
      <w:r w:rsidR="0078498A">
        <w:rPr>
          <w:rFonts w:ascii="Times New Roman" w:eastAsia="標楷體" w:hAnsi="Times New Roman"/>
          <w:b/>
          <w:bCs/>
          <w:snapToGrid w:val="0"/>
          <w:kern w:val="0"/>
          <w:sz w:val="36"/>
          <w:szCs w:val="36"/>
        </w:rPr>
        <w:t>床以</w:t>
      </w:r>
      <w:r w:rsidR="0078498A">
        <w:rPr>
          <w:rFonts w:ascii="Times New Roman" w:eastAsia="標楷體" w:hAnsi="Times New Roman" w:hint="eastAsia"/>
          <w:b/>
          <w:bCs/>
          <w:snapToGrid w:val="0"/>
          <w:kern w:val="0"/>
          <w:sz w:val="36"/>
          <w:szCs w:val="36"/>
        </w:rPr>
        <w:t>上</w:t>
      </w:r>
      <w:r w:rsidR="005203D6" w:rsidRPr="00E32A46">
        <w:rPr>
          <w:rFonts w:ascii="Times New Roman" w:eastAsia="標楷體" w:hAnsi="Times New Roman"/>
          <w:b/>
          <w:bCs/>
          <w:snapToGrid w:val="0"/>
          <w:kern w:val="0"/>
          <w:sz w:val="36"/>
          <w:szCs w:val="36"/>
        </w:rPr>
        <w:t>醫院適用</w:t>
      </w:r>
    </w:p>
    <w:p w:rsidR="005203D6" w:rsidRPr="00E32A46" w:rsidRDefault="005203D6" w:rsidP="00607B4D">
      <w:pPr>
        <w:snapToGrid w:val="0"/>
        <w:spacing w:line="360" w:lineRule="auto"/>
        <w:rPr>
          <w:rFonts w:ascii="Times New Roman" w:eastAsia="標楷體" w:hAnsi="Times New Roman"/>
        </w:rPr>
      </w:pPr>
      <w:r w:rsidRPr="00E32A46">
        <w:rPr>
          <w:rFonts w:ascii="Times New Roman" w:eastAsia="標楷體" w:hAnsi="Times New Roman"/>
        </w:rPr>
        <w:t>醫院名稱：</w:t>
      </w:r>
      <w:r w:rsidRPr="00E32A46">
        <w:rPr>
          <w:rFonts w:ascii="Times New Roman" w:eastAsia="標楷體" w:hAnsi="Times New Roman"/>
          <w:u w:val="single"/>
        </w:rPr>
        <w:t xml:space="preserve">                                    </w:t>
      </w:r>
      <w:r w:rsidRPr="00E32A46">
        <w:rPr>
          <w:rFonts w:ascii="Times New Roman" w:eastAsia="標楷體" w:hAnsi="Times New Roman"/>
        </w:rPr>
        <w:t xml:space="preserve">  </w:t>
      </w:r>
      <w:r w:rsidR="001016D1" w:rsidRPr="00E32A46">
        <w:rPr>
          <w:rFonts w:ascii="Times New Roman" w:eastAsia="標楷體" w:hAnsi="Times New Roman"/>
        </w:rPr>
        <w:t>總病床（</w:t>
      </w:r>
      <w:r w:rsidR="00E61C6B" w:rsidRPr="00E32A46">
        <w:rPr>
          <w:rFonts w:ascii="Times New Roman" w:eastAsia="標楷體" w:hAnsi="Times New Roman"/>
        </w:rPr>
        <w:t>精神</w:t>
      </w:r>
      <w:r w:rsidR="001016D1" w:rsidRPr="00E32A46">
        <w:rPr>
          <w:rFonts w:ascii="Times New Roman" w:eastAsia="標楷體" w:hAnsi="Times New Roman"/>
        </w:rPr>
        <w:t>急性</w:t>
      </w:r>
      <w:r w:rsidR="00E61C6B" w:rsidRPr="00E32A46">
        <w:rPr>
          <w:rFonts w:ascii="Times New Roman" w:eastAsia="標楷體" w:hAnsi="Times New Roman"/>
        </w:rPr>
        <w:t>一般</w:t>
      </w:r>
      <w:r w:rsidR="001016D1" w:rsidRPr="00E32A46">
        <w:rPr>
          <w:rFonts w:ascii="Times New Roman" w:eastAsia="標楷體" w:hAnsi="Times New Roman"/>
        </w:rPr>
        <w:t>病床及</w:t>
      </w:r>
      <w:r w:rsidR="00E61C6B" w:rsidRPr="00E32A46">
        <w:rPr>
          <w:rFonts w:ascii="Times New Roman" w:eastAsia="標楷體" w:hAnsi="Times New Roman"/>
        </w:rPr>
        <w:t>精神</w:t>
      </w:r>
      <w:r w:rsidR="001016D1" w:rsidRPr="00E32A46">
        <w:rPr>
          <w:rFonts w:ascii="Times New Roman" w:eastAsia="標楷體" w:hAnsi="Times New Roman"/>
        </w:rPr>
        <w:t>慢性</w:t>
      </w:r>
      <w:r w:rsidR="00E61C6B" w:rsidRPr="00E32A46">
        <w:rPr>
          <w:rFonts w:ascii="Times New Roman" w:eastAsia="標楷體" w:hAnsi="Times New Roman"/>
        </w:rPr>
        <w:t>一般</w:t>
      </w:r>
      <w:r w:rsidR="001016D1" w:rsidRPr="00E32A46">
        <w:rPr>
          <w:rFonts w:ascii="Times New Roman" w:eastAsia="標楷體" w:hAnsi="Times New Roman"/>
        </w:rPr>
        <w:t>病床合計）</w:t>
      </w:r>
      <w:r w:rsidRPr="00E32A46">
        <w:rPr>
          <w:rFonts w:ascii="Times New Roman" w:eastAsia="標楷體" w:hAnsi="Times New Roman"/>
        </w:rPr>
        <w:t>：</w:t>
      </w:r>
      <w:r w:rsidRPr="00E32A46">
        <w:rPr>
          <w:rFonts w:ascii="Times New Roman" w:eastAsia="標楷體" w:hAnsi="Times New Roman"/>
          <w:u w:val="single"/>
        </w:rPr>
        <w:t xml:space="preserve">      </w:t>
      </w:r>
      <w:r w:rsidRPr="00E32A46">
        <w:rPr>
          <w:rFonts w:ascii="Times New Roman" w:eastAsia="標楷體" w:hAnsi="Times New Roman"/>
        </w:rPr>
        <w:t>床</w:t>
      </w:r>
    </w:p>
    <w:p w:rsidR="005203D6" w:rsidRPr="00E32A46" w:rsidRDefault="005203D6" w:rsidP="00607B4D">
      <w:pPr>
        <w:snapToGrid w:val="0"/>
        <w:spacing w:line="360" w:lineRule="auto"/>
        <w:rPr>
          <w:rFonts w:ascii="Times New Roman" w:eastAsia="標楷體" w:hAnsi="Times New Roman"/>
          <w:u w:val="single"/>
        </w:rPr>
      </w:pPr>
      <w:r w:rsidRPr="00E32A46">
        <w:rPr>
          <w:rFonts w:ascii="Times New Roman" w:eastAsia="標楷體" w:hAnsi="Times New Roman"/>
        </w:rPr>
        <w:t>填表人姓名</w:t>
      </w:r>
      <w:r w:rsidRPr="00E32A46">
        <w:rPr>
          <w:rFonts w:ascii="Times New Roman" w:eastAsia="標楷體" w:hAnsi="Times New Roman"/>
        </w:rPr>
        <w:t>/</w:t>
      </w:r>
      <w:r w:rsidRPr="00E32A46">
        <w:rPr>
          <w:rFonts w:ascii="Times New Roman" w:eastAsia="標楷體" w:hAnsi="Times New Roman"/>
        </w:rPr>
        <w:t>職稱：</w:t>
      </w:r>
      <w:r w:rsidRPr="00E32A46">
        <w:rPr>
          <w:rFonts w:ascii="Times New Roman" w:eastAsia="標楷體" w:hAnsi="Times New Roman"/>
          <w:u w:val="single"/>
        </w:rPr>
        <w:t xml:space="preserve">                     </w:t>
      </w:r>
      <w:r w:rsidRPr="00E32A46">
        <w:rPr>
          <w:rFonts w:ascii="Times New Roman" w:eastAsia="標楷體" w:hAnsi="Times New Roman"/>
        </w:rPr>
        <w:t xml:space="preserve">  </w:t>
      </w:r>
      <w:r w:rsidRPr="00E32A46">
        <w:rPr>
          <w:rFonts w:ascii="Times New Roman" w:eastAsia="標楷體" w:hAnsi="Times New Roman"/>
        </w:rPr>
        <w:t>聯絡電話：</w:t>
      </w:r>
      <w:r w:rsidRPr="00E32A46">
        <w:rPr>
          <w:rFonts w:ascii="Times New Roman" w:eastAsia="標楷體" w:hAnsi="Times New Roman"/>
          <w:u w:val="single"/>
        </w:rPr>
        <w:t xml:space="preserve">                 </w:t>
      </w:r>
      <w:r w:rsidRPr="00E32A46">
        <w:rPr>
          <w:rFonts w:ascii="Times New Roman" w:eastAsia="標楷體" w:hAnsi="Times New Roman"/>
        </w:rPr>
        <w:t xml:space="preserve">  </w:t>
      </w:r>
      <w:r w:rsidRPr="00E32A46">
        <w:rPr>
          <w:rFonts w:ascii="Times New Roman" w:eastAsia="標楷體" w:hAnsi="Times New Roman"/>
        </w:rPr>
        <w:t>負責醫師：</w:t>
      </w:r>
      <w:r w:rsidRPr="00E32A46">
        <w:rPr>
          <w:rFonts w:ascii="Times New Roman" w:eastAsia="標楷體" w:hAnsi="Times New Roman"/>
          <w:u w:val="single"/>
        </w:rPr>
        <w:t xml:space="preserve">                    </w:t>
      </w:r>
    </w:p>
    <w:p w:rsidR="005203D6" w:rsidRPr="00E32A46" w:rsidRDefault="005203D6" w:rsidP="00CA26A9">
      <w:pPr>
        <w:spacing w:beforeLines="50" w:before="180" w:line="240" w:lineRule="atLeast"/>
        <w:ind w:firstLineChars="3250" w:firstLine="7800"/>
        <w:rPr>
          <w:rFonts w:ascii="Times New Roman" w:eastAsia="標楷體" w:hAnsi="Times New Roman"/>
          <w:u w:val="single"/>
        </w:rPr>
      </w:pPr>
      <w:r w:rsidRPr="00E32A46">
        <w:rPr>
          <w:rFonts w:ascii="Times New Roman" w:eastAsia="標楷體" w:hAnsi="Times New Roman"/>
          <w:u w:val="single"/>
        </w:rPr>
        <w:t xml:space="preserve">           </w:t>
      </w:r>
      <w:r w:rsidRPr="00E32A46">
        <w:rPr>
          <w:rFonts w:ascii="Times New Roman" w:eastAsia="標楷體" w:hAnsi="Times New Roman"/>
        </w:rPr>
        <w:t>縣</w:t>
      </w:r>
      <w:r w:rsidRPr="00E32A46">
        <w:rPr>
          <w:rFonts w:ascii="Times New Roman" w:eastAsia="標楷體" w:hAnsi="Times New Roman"/>
        </w:rPr>
        <w:t>/</w:t>
      </w:r>
      <w:r w:rsidRPr="00E32A46">
        <w:rPr>
          <w:rFonts w:ascii="Times New Roman" w:eastAsia="標楷體" w:hAnsi="Times New Roman"/>
        </w:rPr>
        <w:t>市衛生局</w:t>
      </w:r>
      <w:r w:rsidRPr="00E32A46">
        <w:rPr>
          <w:rFonts w:ascii="Times New Roman" w:eastAsia="標楷體" w:hAnsi="Times New Roman"/>
        </w:rPr>
        <w:t xml:space="preserve">  </w:t>
      </w:r>
      <w:r w:rsidRPr="00E32A46">
        <w:rPr>
          <w:rFonts w:ascii="Times New Roman" w:eastAsia="標楷體" w:hAnsi="Times New Roman"/>
        </w:rPr>
        <w:t>查證人員姓名</w:t>
      </w:r>
      <w:r w:rsidRPr="00E32A46">
        <w:rPr>
          <w:rFonts w:ascii="Times New Roman" w:eastAsia="標楷體" w:hAnsi="Times New Roman"/>
        </w:rPr>
        <w:t>/</w:t>
      </w:r>
      <w:r w:rsidRPr="00E32A46">
        <w:rPr>
          <w:rFonts w:ascii="Times New Roman" w:eastAsia="標楷體" w:hAnsi="Times New Roman"/>
        </w:rPr>
        <w:t>職稱：</w:t>
      </w:r>
      <w:r w:rsidRPr="00E32A46">
        <w:rPr>
          <w:rFonts w:ascii="Times New Roman" w:eastAsia="標楷體" w:hAnsi="Times New Roman"/>
          <w:u w:val="single"/>
        </w:rPr>
        <w:t xml:space="preserve">                 </w:t>
      </w:r>
    </w:p>
    <w:p w:rsidR="005203D6" w:rsidRPr="00E32A46" w:rsidRDefault="005203D6" w:rsidP="00C32B04">
      <w:pPr>
        <w:pStyle w:val="a3"/>
        <w:numPr>
          <w:ilvl w:val="0"/>
          <w:numId w:val="6"/>
        </w:numPr>
        <w:spacing w:line="240" w:lineRule="atLeast"/>
        <w:ind w:leftChars="0"/>
        <w:rPr>
          <w:rFonts w:ascii="Times New Roman" w:eastAsia="標楷體" w:hAnsi="Times New Roman"/>
          <w:bCs/>
          <w:szCs w:val="24"/>
        </w:rPr>
      </w:pPr>
      <w:r w:rsidRPr="00E32A46">
        <w:rPr>
          <w:rFonts w:ascii="Times New Roman" w:eastAsia="標楷體" w:hAnsi="Times New Roman"/>
          <w:b/>
          <w:sz w:val="28"/>
          <w:szCs w:val="28"/>
        </w:rPr>
        <w:t>認定原則：</w:t>
      </w:r>
    </w:p>
    <w:p w:rsidR="005203D6" w:rsidRPr="00E32A46" w:rsidRDefault="003F3728" w:rsidP="00C32B04">
      <w:pPr>
        <w:spacing w:line="240" w:lineRule="atLeast"/>
        <w:ind w:leftChars="100" w:left="240"/>
        <w:rPr>
          <w:rFonts w:ascii="Times New Roman" w:eastAsia="標楷體" w:hAnsi="Times New Roman"/>
          <w:bCs/>
          <w:szCs w:val="24"/>
        </w:rPr>
      </w:pPr>
      <w:r w:rsidRPr="00E32A46">
        <w:rPr>
          <w:rFonts w:ascii="Times New Roman" w:eastAsia="標楷體" w:hAnsi="Times New Roman"/>
          <w:bCs/>
          <w:szCs w:val="24"/>
        </w:rPr>
        <w:t>精神科</w:t>
      </w:r>
      <w:r w:rsidR="005203D6" w:rsidRPr="00E32A46">
        <w:rPr>
          <w:rFonts w:ascii="Times New Roman" w:eastAsia="標楷體" w:hAnsi="Times New Roman"/>
          <w:bCs/>
          <w:szCs w:val="24"/>
        </w:rPr>
        <w:t>醫院評鑑</w:t>
      </w:r>
      <w:r w:rsidR="00BA4C05" w:rsidRPr="00E32A46">
        <w:rPr>
          <w:rFonts w:ascii="Times New Roman" w:eastAsia="標楷體" w:hAnsi="Times New Roman"/>
          <w:bCs/>
          <w:szCs w:val="24"/>
        </w:rPr>
        <w:t>基準</w:t>
      </w:r>
      <w:r w:rsidR="005203D6" w:rsidRPr="00E32A46">
        <w:rPr>
          <w:rFonts w:ascii="Times New Roman" w:eastAsia="標楷體" w:hAnsi="Times New Roman"/>
          <w:bCs/>
          <w:szCs w:val="24"/>
        </w:rPr>
        <w:t>中，可免評之條文</w:t>
      </w:r>
      <w:r w:rsidR="00802D6F" w:rsidRPr="00E32A46">
        <w:rPr>
          <w:rFonts w:ascii="Times New Roman" w:eastAsia="標楷體" w:hAnsi="Times New Roman"/>
          <w:bCs/>
          <w:szCs w:val="24"/>
        </w:rPr>
        <w:t>（</w:t>
      </w:r>
      <w:r w:rsidR="00802D6F" w:rsidRPr="00E32A46">
        <w:rPr>
          <w:rFonts w:ascii="Times New Roman" w:eastAsia="標楷體" w:hAnsi="Times New Roman"/>
          <w:bCs/>
          <w:szCs w:val="24"/>
        </w:rPr>
        <w:t>Not Applicable, NA</w:t>
      </w:r>
      <w:r w:rsidR="00802D6F" w:rsidRPr="00E32A46">
        <w:rPr>
          <w:rFonts w:ascii="Times New Roman" w:eastAsia="標楷體" w:hAnsi="Times New Roman"/>
          <w:bCs/>
          <w:szCs w:val="24"/>
        </w:rPr>
        <w:t>）</w:t>
      </w:r>
      <w:r w:rsidR="005203D6" w:rsidRPr="00E32A46">
        <w:rPr>
          <w:rFonts w:ascii="Times New Roman" w:eastAsia="標楷體" w:hAnsi="Times New Roman"/>
          <w:bCs/>
          <w:szCs w:val="24"/>
        </w:rPr>
        <w:t>共計</w:t>
      </w:r>
      <w:r w:rsidR="00E53B6A">
        <w:rPr>
          <w:rFonts w:ascii="Times New Roman" w:eastAsia="標楷體" w:hAnsi="Times New Roman" w:hint="eastAsia"/>
          <w:bCs/>
          <w:szCs w:val="24"/>
        </w:rPr>
        <w:t>30</w:t>
      </w:r>
      <w:r w:rsidR="005203D6" w:rsidRPr="00E32A46">
        <w:rPr>
          <w:rFonts w:ascii="Times New Roman" w:eastAsia="標楷體" w:hAnsi="Times New Roman"/>
          <w:bCs/>
          <w:szCs w:val="24"/>
        </w:rPr>
        <w:t>條</w:t>
      </w:r>
      <w:r w:rsidR="00B64E77" w:rsidRPr="00E32A46">
        <w:rPr>
          <w:rFonts w:ascii="Times New Roman" w:eastAsia="標楷體" w:hAnsi="Times New Roman"/>
          <w:bCs/>
          <w:szCs w:val="24"/>
        </w:rPr>
        <w:t>，受評醫院可考量個別醫院之實質功能，於精神科醫院評鑑</w:t>
      </w:r>
      <w:r w:rsidR="005203D6" w:rsidRPr="00E32A46">
        <w:rPr>
          <w:rFonts w:ascii="Times New Roman" w:eastAsia="標楷體" w:hAnsi="Times New Roman"/>
          <w:bCs/>
          <w:szCs w:val="24"/>
        </w:rPr>
        <w:t>基準所列可免評條件，選出各該醫院不適用之條文，</w:t>
      </w:r>
      <w:r w:rsidR="001576DA" w:rsidRPr="00E32A46">
        <w:rPr>
          <w:rFonts w:ascii="Times New Roman" w:eastAsia="標楷體" w:hAnsi="Times New Roman"/>
          <w:bCs/>
          <w:szCs w:val="24"/>
        </w:rPr>
        <w:t>本表共分為下列</w:t>
      </w:r>
      <w:r w:rsidR="00066C28">
        <w:rPr>
          <w:rFonts w:ascii="Times New Roman" w:eastAsia="標楷體" w:hAnsi="Times New Roman" w:hint="eastAsia"/>
          <w:bCs/>
          <w:szCs w:val="24"/>
        </w:rPr>
        <w:t>二</w:t>
      </w:r>
      <w:r w:rsidR="001576DA" w:rsidRPr="00E32A46">
        <w:rPr>
          <w:rFonts w:ascii="Times New Roman" w:eastAsia="標楷體" w:hAnsi="Times New Roman"/>
          <w:bCs/>
          <w:szCs w:val="24"/>
        </w:rPr>
        <w:t>類，但經認定有不符合情形者，</w:t>
      </w:r>
      <w:r w:rsidR="00802D6F" w:rsidRPr="00E32A46">
        <w:rPr>
          <w:rFonts w:ascii="Times New Roman" w:eastAsia="標楷體" w:hAnsi="Times New Roman"/>
          <w:bCs/>
          <w:szCs w:val="24"/>
        </w:rPr>
        <w:t>則不得列為可免評條文</w:t>
      </w:r>
      <w:r w:rsidR="005203D6" w:rsidRPr="00E32A46">
        <w:rPr>
          <w:rFonts w:ascii="Times New Roman" w:eastAsia="標楷體" w:hAnsi="Times New Roman"/>
          <w:bCs/>
          <w:szCs w:val="24"/>
        </w:rPr>
        <w:t>之項目：</w:t>
      </w:r>
    </w:p>
    <w:p w:rsidR="005203D6" w:rsidRPr="00E32A46" w:rsidRDefault="005203D6" w:rsidP="00EA4AAF">
      <w:pPr>
        <w:adjustRightInd w:val="0"/>
        <w:snapToGrid w:val="0"/>
        <w:spacing w:line="240" w:lineRule="atLeast"/>
        <w:ind w:leftChars="100" w:left="1092" w:hangingChars="355" w:hanging="852"/>
        <w:rPr>
          <w:rFonts w:ascii="Times New Roman" w:eastAsia="標楷體" w:hAnsi="Times New Roman"/>
          <w:bCs/>
          <w:szCs w:val="24"/>
        </w:rPr>
      </w:pPr>
      <w:r w:rsidRPr="00E32A46">
        <w:rPr>
          <w:rFonts w:ascii="Times New Roman" w:eastAsia="標楷體" w:hAnsi="Times New Roman"/>
          <w:szCs w:val="24"/>
        </w:rPr>
        <w:t>第一類：</w:t>
      </w:r>
      <w:r w:rsidR="00DB11F5" w:rsidRPr="00E32A46">
        <w:rPr>
          <w:rFonts w:ascii="Times New Roman" w:eastAsia="標楷體" w:hAnsi="Times New Roman"/>
          <w:bCs/>
          <w:szCs w:val="24"/>
        </w:rPr>
        <w:t>醫院於衛生局登記之科別與依醫療機構設置標準規定應具備之設施設備及服務項目。（此類由衛生局進行查證確認）</w:t>
      </w:r>
    </w:p>
    <w:p w:rsidR="005203D6" w:rsidRPr="00E32A46" w:rsidRDefault="005203D6" w:rsidP="00EA4AAF">
      <w:pPr>
        <w:adjustRightInd w:val="0"/>
        <w:snapToGrid w:val="0"/>
        <w:spacing w:line="240" w:lineRule="atLeast"/>
        <w:ind w:leftChars="100" w:left="1092" w:hangingChars="355" w:hanging="852"/>
        <w:rPr>
          <w:rFonts w:ascii="Times New Roman" w:eastAsia="標楷體" w:hAnsi="Times New Roman"/>
          <w:bCs/>
          <w:szCs w:val="24"/>
        </w:rPr>
      </w:pPr>
      <w:r w:rsidRPr="00E32A46">
        <w:rPr>
          <w:rFonts w:ascii="Times New Roman" w:eastAsia="標楷體" w:hAnsi="Times New Roman"/>
          <w:bCs/>
          <w:szCs w:val="24"/>
        </w:rPr>
        <w:t>第二類：依醫院功能或服務理念，醫院實際具有之設施或提供之服務項目。</w:t>
      </w:r>
      <w:r w:rsidR="00DB11F5" w:rsidRPr="00E32A46">
        <w:rPr>
          <w:rFonts w:ascii="Times New Roman" w:eastAsia="標楷體" w:hAnsi="Times New Roman"/>
          <w:bCs/>
          <w:szCs w:val="24"/>
        </w:rPr>
        <w:t>（此類由評鑑委員實地查核確認）</w:t>
      </w:r>
    </w:p>
    <w:p w:rsidR="005203D6" w:rsidRPr="00E32A46" w:rsidRDefault="0035712A" w:rsidP="00EA4AAF">
      <w:pPr>
        <w:spacing w:line="240" w:lineRule="atLeast"/>
        <w:ind w:leftChars="100" w:left="240" w:rightChars="-259" w:right="-622"/>
        <w:rPr>
          <w:rFonts w:ascii="Times New Roman" w:eastAsia="標楷體" w:hAnsi="Times New Roman"/>
          <w:b/>
          <w:szCs w:val="24"/>
        </w:rPr>
      </w:pPr>
      <w:r w:rsidRPr="00E32A46">
        <w:rPr>
          <w:rFonts w:ascii="Times New Roman" w:eastAsia="標楷體" w:hAnsi="Times New Roman"/>
          <w:b/>
          <w:szCs w:val="24"/>
        </w:rPr>
        <w:t>可免評條文</w:t>
      </w:r>
      <w:r w:rsidR="005203D6" w:rsidRPr="00E32A46">
        <w:rPr>
          <w:rFonts w:ascii="Times New Roman" w:eastAsia="標楷體" w:hAnsi="Times New Roman"/>
          <w:b/>
          <w:szCs w:val="24"/>
        </w:rPr>
        <w:t>分類說明：</w:t>
      </w:r>
    </w:p>
    <w:p w:rsidR="005203D6" w:rsidRPr="00E32A46" w:rsidRDefault="005203D6" w:rsidP="00EA4AAF">
      <w:pPr>
        <w:spacing w:line="280" w:lineRule="exact"/>
        <w:ind w:leftChars="150" w:left="600" w:hangingChars="100" w:hanging="240"/>
        <w:jc w:val="both"/>
        <w:rPr>
          <w:rFonts w:ascii="Times New Roman" w:eastAsia="標楷體" w:hAnsi="Times New Roman"/>
          <w:szCs w:val="24"/>
        </w:rPr>
      </w:pPr>
      <w:r w:rsidRPr="00E32A46">
        <w:rPr>
          <w:rFonts w:ascii="Times New Roman" w:eastAsia="標楷體" w:hAnsi="Times New Roman"/>
          <w:szCs w:val="24"/>
        </w:rPr>
        <w:t>（可）所有規模醫院均適用之</w:t>
      </w:r>
      <w:r w:rsidR="0035712A" w:rsidRPr="00E32A46">
        <w:rPr>
          <w:rFonts w:ascii="Times New Roman" w:eastAsia="標楷體" w:hAnsi="Times New Roman"/>
          <w:szCs w:val="24"/>
        </w:rPr>
        <w:t>可免評條文</w:t>
      </w:r>
      <w:r w:rsidRPr="00E32A46">
        <w:rPr>
          <w:rFonts w:ascii="Times New Roman" w:eastAsia="標楷體" w:hAnsi="Times New Roman"/>
          <w:szCs w:val="24"/>
        </w:rPr>
        <w:t>。</w:t>
      </w:r>
    </w:p>
    <w:p w:rsidR="005203D6" w:rsidRPr="00E32A46" w:rsidRDefault="005203D6" w:rsidP="00EA4AAF">
      <w:pPr>
        <w:spacing w:line="280" w:lineRule="exact"/>
        <w:ind w:leftChars="150" w:left="600" w:hangingChars="100" w:hanging="240"/>
        <w:jc w:val="both"/>
        <w:rPr>
          <w:rFonts w:ascii="Times New Roman" w:eastAsia="標楷體" w:hAnsi="Times New Roman"/>
          <w:szCs w:val="24"/>
        </w:rPr>
      </w:pPr>
      <w:r w:rsidRPr="00E32A46">
        <w:rPr>
          <w:rFonts w:ascii="Times New Roman" w:eastAsia="標楷體" w:hAnsi="Times New Roman"/>
          <w:szCs w:val="24"/>
        </w:rPr>
        <w:t>（可</w:t>
      </w:r>
      <w:r w:rsidRPr="00E32A46">
        <w:rPr>
          <w:rFonts w:ascii="Times New Roman" w:eastAsia="標楷體" w:hAnsi="Times New Roman"/>
          <w:szCs w:val="24"/>
        </w:rPr>
        <w:t>*</w:t>
      </w:r>
      <w:r w:rsidRPr="00E32A46">
        <w:rPr>
          <w:rFonts w:ascii="Times New Roman" w:eastAsia="標楷體" w:hAnsi="Times New Roman"/>
          <w:szCs w:val="24"/>
        </w:rPr>
        <w:t>）僅限</w:t>
      </w:r>
      <w:r w:rsidR="00633205" w:rsidRPr="00E32A46">
        <w:rPr>
          <w:rFonts w:ascii="Times New Roman" w:eastAsia="標楷體" w:hAnsi="Times New Roman"/>
          <w:szCs w:val="24"/>
        </w:rPr>
        <w:t>精神</w:t>
      </w:r>
      <w:r w:rsidRPr="00E32A46">
        <w:rPr>
          <w:rFonts w:ascii="Times New Roman" w:eastAsia="標楷體" w:hAnsi="Times New Roman"/>
          <w:szCs w:val="24"/>
        </w:rPr>
        <w:t>急性</w:t>
      </w:r>
      <w:r w:rsidR="00633205" w:rsidRPr="00E32A46">
        <w:rPr>
          <w:rFonts w:ascii="Times New Roman" w:eastAsia="標楷體" w:hAnsi="Times New Roman"/>
          <w:szCs w:val="24"/>
        </w:rPr>
        <w:t>一般</w:t>
      </w:r>
      <w:r w:rsidRPr="00E32A46">
        <w:rPr>
          <w:rFonts w:ascii="Times New Roman" w:eastAsia="標楷體" w:hAnsi="Times New Roman"/>
          <w:szCs w:val="24"/>
        </w:rPr>
        <w:t>病床</w:t>
      </w:r>
      <w:r w:rsidR="00465005" w:rsidRPr="00E32A46">
        <w:rPr>
          <w:rFonts w:ascii="Times New Roman" w:eastAsia="標楷體" w:hAnsi="Times New Roman"/>
          <w:szCs w:val="24"/>
        </w:rPr>
        <w:t>及</w:t>
      </w:r>
      <w:r w:rsidR="00633205" w:rsidRPr="00E32A46">
        <w:rPr>
          <w:rFonts w:ascii="Times New Roman" w:eastAsia="標楷體" w:hAnsi="Times New Roman"/>
          <w:szCs w:val="24"/>
        </w:rPr>
        <w:t>精神</w:t>
      </w:r>
      <w:r w:rsidR="002B14CE" w:rsidRPr="00E32A46">
        <w:rPr>
          <w:rFonts w:ascii="Times New Roman" w:eastAsia="標楷體" w:hAnsi="Times New Roman"/>
          <w:szCs w:val="24"/>
        </w:rPr>
        <w:t>慢性</w:t>
      </w:r>
      <w:r w:rsidR="00633205" w:rsidRPr="00E32A46">
        <w:rPr>
          <w:rFonts w:ascii="Times New Roman" w:eastAsia="標楷體" w:hAnsi="Times New Roman"/>
          <w:szCs w:val="24"/>
        </w:rPr>
        <w:t>一般</w:t>
      </w:r>
      <w:r w:rsidR="002B14CE" w:rsidRPr="00E32A46">
        <w:rPr>
          <w:rFonts w:ascii="Times New Roman" w:eastAsia="標楷體" w:hAnsi="Times New Roman"/>
          <w:szCs w:val="24"/>
        </w:rPr>
        <w:t>病床</w:t>
      </w:r>
      <w:r w:rsidR="00465005" w:rsidRPr="00E32A46">
        <w:rPr>
          <w:rFonts w:ascii="Times New Roman" w:eastAsia="標楷體" w:hAnsi="Times New Roman"/>
          <w:szCs w:val="24"/>
        </w:rPr>
        <w:t>加總合計</w:t>
      </w:r>
      <w:r w:rsidRPr="00E32A46">
        <w:rPr>
          <w:rFonts w:ascii="Times New Roman" w:eastAsia="標楷體" w:hAnsi="Times New Roman"/>
          <w:szCs w:val="24"/>
        </w:rPr>
        <w:t>99</w:t>
      </w:r>
      <w:r w:rsidRPr="00E32A46">
        <w:rPr>
          <w:rFonts w:ascii="Times New Roman" w:eastAsia="標楷體" w:hAnsi="Times New Roman"/>
          <w:szCs w:val="24"/>
        </w:rPr>
        <w:t>床（含）以下醫院適用之可免評條文。</w:t>
      </w:r>
    </w:p>
    <w:p w:rsidR="005203D6" w:rsidRPr="00E32A46" w:rsidRDefault="005203D6" w:rsidP="007252B1">
      <w:pPr>
        <w:spacing w:line="240" w:lineRule="atLeast"/>
        <w:rPr>
          <w:rFonts w:ascii="Times New Roman" w:eastAsia="標楷體" w:hAnsi="Times New Roman"/>
          <w:b/>
          <w:sz w:val="28"/>
          <w:szCs w:val="28"/>
        </w:rPr>
      </w:pPr>
      <w:r w:rsidRPr="00E32A46">
        <w:rPr>
          <w:rFonts w:ascii="Times New Roman" w:eastAsia="標楷體" w:hAnsi="Times New Roman"/>
          <w:b/>
          <w:sz w:val="28"/>
          <w:szCs w:val="28"/>
        </w:rPr>
        <w:t>二、醫院請依據認定基準選擇：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
        <w:gridCol w:w="559"/>
        <w:gridCol w:w="712"/>
        <w:gridCol w:w="706"/>
        <w:gridCol w:w="3102"/>
        <w:gridCol w:w="3102"/>
        <w:gridCol w:w="2109"/>
        <w:gridCol w:w="2109"/>
        <w:gridCol w:w="2106"/>
      </w:tblGrid>
      <w:tr w:rsidR="00E53B6A" w:rsidRPr="005D1BE0" w:rsidTr="000A5727">
        <w:trPr>
          <w:trHeight w:val="556"/>
          <w:tblHeader/>
        </w:trPr>
        <w:tc>
          <w:tcPr>
            <w:tcW w:w="151" w:type="pct"/>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項次</w:t>
            </w:r>
          </w:p>
        </w:tc>
        <w:tc>
          <w:tcPr>
            <w:tcW w:w="187" w:type="pct"/>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認定原則</w:t>
            </w:r>
          </w:p>
        </w:tc>
        <w:tc>
          <w:tcPr>
            <w:tcW w:w="474" w:type="pct"/>
            <w:gridSpan w:val="2"/>
            <w:noWrap/>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條號</w:t>
            </w:r>
          </w:p>
        </w:tc>
        <w:tc>
          <w:tcPr>
            <w:tcW w:w="1037" w:type="pct"/>
            <w:noWrap/>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條文</w:t>
            </w:r>
          </w:p>
        </w:tc>
        <w:tc>
          <w:tcPr>
            <w:tcW w:w="1037" w:type="pct"/>
            <w:noWrap/>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認定基準</w:t>
            </w:r>
          </w:p>
        </w:tc>
        <w:tc>
          <w:tcPr>
            <w:tcW w:w="705" w:type="pct"/>
            <w:vAlign w:val="center"/>
          </w:tcPr>
          <w:p w:rsidR="00E53B6A" w:rsidRPr="005D1BE0" w:rsidRDefault="008B7D8F" w:rsidP="000A5727">
            <w:pPr>
              <w:spacing w:line="240" w:lineRule="atLeast"/>
              <w:ind w:left="192" w:hangingChars="80" w:hanging="192"/>
              <w:jc w:val="center"/>
              <w:rPr>
                <w:rFonts w:ascii="Times New Roman" w:eastAsia="標楷體" w:hAnsi="Times New Roman"/>
              </w:rPr>
            </w:pPr>
            <w:r>
              <w:rPr>
                <w:rFonts w:ascii="Times New Roman" w:eastAsia="標楷體" w:hAnsi="Times New Roman"/>
              </w:rPr>
              <w:t>1.</w:t>
            </w:r>
            <w:r w:rsidR="00E53B6A" w:rsidRPr="005D1BE0">
              <w:rPr>
                <w:rFonts w:ascii="Times New Roman" w:eastAsia="標楷體" w:hAnsi="Times New Roman"/>
              </w:rPr>
              <w:t>受評醫院選擇</w:t>
            </w:r>
          </w:p>
        </w:tc>
        <w:tc>
          <w:tcPr>
            <w:tcW w:w="705" w:type="pct"/>
            <w:vAlign w:val="center"/>
          </w:tcPr>
          <w:p w:rsidR="00E53B6A" w:rsidRPr="005D1BE0" w:rsidRDefault="00E53B6A" w:rsidP="000A5727">
            <w:pPr>
              <w:spacing w:line="240" w:lineRule="atLeast"/>
              <w:ind w:leftChars="-38" w:left="-91"/>
              <w:jc w:val="center"/>
              <w:rPr>
                <w:rFonts w:ascii="Times New Roman" w:eastAsia="標楷體" w:hAnsi="Times New Roman"/>
                <w:w w:val="80"/>
              </w:rPr>
            </w:pPr>
            <w:r w:rsidRPr="005D1BE0">
              <w:rPr>
                <w:rFonts w:ascii="Times New Roman" w:eastAsia="標楷體" w:hAnsi="Times New Roman"/>
              </w:rPr>
              <w:t>2.</w:t>
            </w:r>
            <w:r w:rsidRPr="005D1BE0">
              <w:rPr>
                <w:rFonts w:ascii="Times New Roman" w:eastAsia="標楷體" w:hAnsi="Times New Roman"/>
              </w:rPr>
              <w:t>醫策會初步查核</w:t>
            </w:r>
          </w:p>
        </w:tc>
        <w:tc>
          <w:tcPr>
            <w:tcW w:w="704" w:type="pct"/>
            <w:vAlign w:val="center"/>
          </w:tcPr>
          <w:p w:rsidR="00E53B6A" w:rsidRPr="005D1BE0" w:rsidRDefault="00E53B6A" w:rsidP="000A5727">
            <w:pPr>
              <w:spacing w:line="240" w:lineRule="atLeast"/>
              <w:jc w:val="center"/>
              <w:rPr>
                <w:rFonts w:ascii="Times New Roman" w:eastAsia="標楷體" w:hAnsi="Times New Roman"/>
              </w:rPr>
            </w:pPr>
            <w:r w:rsidRPr="005D1BE0">
              <w:rPr>
                <w:rFonts w:ascii="Times New Roman" w:eastAsia="標楷體" w:hAnsi="Times New Roman"/>
              </w:rPr>
              <w:t>3.</w:t>
            </w:r>
            <w:r w:rsidRPr="005D1BE0">
              <w:rPr>
                <w:rFonts w:ascii="Times New Roman" w:eastAsia="標楷體" w:hAnsi="Times New Roman"/>
              </w:rPr>
              <w:t>衛生局實地查證</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0A5727">
            <w:pPr>
              <w:jc w:val="both"/>
              <w:rPr>
                <w:rFonts w:ascii="Times New Roman" w:hAnsi="Times New Roman"/>
                <w:color w:val="000000"/>
              </w:rPr>
            </w:pPr>
            <w:r w:rsidRPr="005D1BE0">
              <w:rPr>
                <w:rFonts w:ascii="Times New Roman" w:hAnsi="Times New Roman"/>
                <w:color w:val="000000"/>
              </w:rPr>
              <w:t>1.2.8</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適當醫事放射人力配置</w:t>
            </w:r>
          </w:p>
        </w:tc>
        <w:tc>
          <w:tcPr>
            <w:tcW w:w="1037" w:type="pct"/>
            <w:noWrap/>
            <w:vAlign w:val="center"/>
          </w:tcPr>
          <w:p w:rsidR="00E53B6A" w:rsidRPr="005D1BE0" w:rsidRDefault="00E53B6A" w:rsidP="000A5727">
            <w:pPr>
              <w:rPr>
                <w:rFonts w:ascii="Times New Roman" w:hAnsi="Times New Roman"/>
                <w:color w:val="000000"/>
              </w:rPr>
            </w:pPr>
            <w:r w:rsidRPr="005D1BE0">
              <w:rPr>
                <w:rFonts w:ascii="Times New Roman" w:eastAsia="標楷體" w:hAnsi="Times New Roman"/>
                <w:color w:val="000000"/>
              </w:rPr>
              <w:t>醫院若未設有放射部門，可自選本條免評，惟聘有醫事放射人員且設有</w:t>
            </w:r>
            <w:r w:rsidRPr="005D1BE0">
              <w:rPr>
                <w:rFonts w:ascii="Times New Roman" w:hAnsi="Times New Roman"/>
                <w:color w:val="000000"/>
              </w:rPr>
              <w:t>X</w:t>
            </w:r>
            <w:r w:rsidRPr="005D1BE0">
              <w:rPr>
                <w:rFonts w:ascii="Times New Roman" w:eastAsia="標楷體" w:hAnsi="Times New Roman"/>
                <w:color w:val="000000"/>
              </w:rPr>
              <w:t>光等設備並提供放射之服務，本項基準則須受評。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262"/>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w:t>
            </w:r>
          </w:p>
        </w:tc>
        <w:tc>
          <w:tcPr>
            <w:tcW w:w="187" w:type="pct"/>
            <w:vAlign w:val="center"/>
          </w:tcPr>
          <w:p w:rsidR="00E53B6A" w:rsidRPr="005D1BE0" w:rsidRDefault="00E53B6A" w:rsidP="000A5727">
            <w:pPr>
              <w:snapToGrid w:val="0"/>
              <w:jc w:val="center"/>
              <w:rPr>
                <w:rFonts w:ascii="Times New Roman" w:eastAsia="標楷體" w:hAnsi="Times New Roman"/>
                <w:szCs w:val="24"/>
              </w:rPr>
            </w:pPr>
            <w:r w:rsidRPr="005D1BE0">
              <w:rPr>
                <w:rFonts w:ascii="Times New Roman" w:eastAsia="標楷體" w:hAnsi="Times New Roman"/>
                <w:szCs w:val="24"/>
              </w:rPr>
              <w:t>1</w:t>
            </w:r>
          </w:p>
        </w:tc>
        <w:tc>
          <w:tcPr>
            <w:tcW w:w="238" w:type="pct"/>
            <w:vAlign w:val="center"/>
          </w:tcPr>
          <w:p w:rsidR="00E53B6A" w:rsidRPr="005D1BE0" w:rsidRDefault="00E53B6A" w:rsidP="000A5727">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0A5727">
            <w:pPr>
              <w:jc w:val="both"/>
              <w:rPr>
                <w:rFonts w:ascii="Times New Roman" w:hAnsi="Times New Roman"/>
                <w:color w:val="000000"/>
              </w:rPr>
            </w:pPr>
            <w:r w:rsidRPr="005D1BE0">
              <w:rPr>
                <w:rFonts w:ascii="Times New Roman" w:hAnsi="Times New Roman"/>
                <w:color w:val="000000"/>
              </w:rPr>
              <w:t>2.1.3</w:t>
            </w:r>
          </w:p>
        </w:tc>
        <w:tc>
          <w:tcPr>
            <w:tcW w:w="1037" w:type="pct"/>
            <w:vAlign w:val="center"/>
          </w:tcPr>
          <w:p w:rsidR="00E53B6A" w:rsidRPr="005D1BE0" w:rsidRDefault="00E53B6A" w:rsidP="000A5727">
            <w:pPr>
              <w:jc w:val="both"/>
              <w:rPr>
                <w:rFonts w:ascii="Times New Roman" w:eastAsia="標楷體" w:hAnsi="Times New Roman"/>
                <w:color w:val="000000"/>
              </w:rPr>
            </w:pPr>
            <w:r w:rsidRPr="005D1BE0">
              <w:rPr>
                <w:rFonts w:ascii="Times New Roman" w:eastAsia="標楷體" w:hAnsi="Times New Roman"/>
                <w:color w:val="000000"/>
              </w:rPr>
              <w:t>嚴重病人緊急安置或強制住院作業應符合精神衛生法規定，並提供必要之治療及保護</w:t>
            </w:r>
          </w:p>
        </w:tc>
        <w:tc>
          <w:tcPr>
            <w:tcW w:w="1037" w:type="pct"/>
            <w:noWrap/>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非直轄市、縣（市）衛生局所指定強制住院之精神醫療機構者，可自選本條免評。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Pr>
                <w:rFonts w:ascii="Times New Roman" w:eastAsia="標楷體" w:hAnsi="Times New Roman"/>
              </w:rPr>
              <w:t>得</w:t>
            </w:r>
            <w:r>
              <w:rPr>
                <w:rFonts w:ascii="Times New Roman" w:eastAsia="標楷體" w:hAnsi="Times New Roman"/>
              </w:rPr>
              <w:t>NA</w:t>
            </w:r>
            <w:r>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lastRenderedPageBreak/>
              <w:t>3</w:t>
            </w:r>
          </w:p>
        </w:tc>
        <w:tc>
          <w:tcPr>
            <w:tcW w:w="187" w:type="pct"/>
            <w:vAlign w:val="center"/>
          </w:tcPr>
          <w:p w:rsidR="00E53B6A" w:rsidRPr="005D1BE0" w:rsidRDefault="00E53B6A" w:rsidP="000A5727">
            <w:pPr>
              <w:snapToGrid w:val="0"/>
              <w:jc w:val="center"/>
              <w:rPr>
                <w:rFonts w:ascii="Times New Roman" w:eastAsia="標楷體" w:hAnsi="Times New Roman"/>
                <w:szCs w:val="24"/>
              </w:rPr>
            </w:pPr>
            <w:r w:rsidRPr="005D1BE0">
              <w:rPr>
                <w:rFonts w:ascii="Times New Roman" w:eastAsia="標楷體" w:hAnsi="Times New Roman"/>
                <w:szCs w:val="24"/>
              </w:rPr>
              <w:t>1</w:t>
            </w:r>
          </w:p>
        </w:tc>
        <w:tc>
          <w:tcPr>
            <w:tcW w:w="238" w:type="pct"/>
            <w:vAlign w:val="center"/>
          </w:tcPr>
          <w:p w:rsidR="00E53B6A" w:rsidRPr="005D1BE0" w:rsidRDefault="00E53B6A" w:rsidP="000A5727">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0A5727">
            <w:pPr>
              <w:jc w:val="both"/>
              <w:rPr>
                <w:rFonts w:ascii="Times New Roman" w:hAnsi="Times New Roman"/>
                <w:color w:val="000000"/>
              </w:rPr>
            </w:pPr>
            <w:r w:rsidRPr="005D1BE0">
              <w:rPr>
                <w:rFonts w:ascii="Times New Roman" w:hAnsi="Times New Roman"/>
                <w:color w:val="000000"/>
              </w:rPr>
              <w:t>2.1.4</w:t>
            </w:r>
          </w:p>
        </w:tc>
        <w:tc>
          <w:tcPr>
            <w:tcW w:w="1037" w:type="pct"/>
            <w:vAlign w:val="center"/>
          </w:tcPr>
          <w:p w:rsidR="00E53B6A" w:rsidRPr="005D1BE0" w:rsidRDefault="00E53B6A" w:rsidP="000A5727">
            <w:pPr>
              <w:jc w:val="both"/>
              <w:rPr>
                <w:rFonts w:ascii="Times New Roman" w:eastAsia="標楷體" w:hAnsi="Times New Roman"/>
                <w:color w:val="000000"/>
              </w:rPr>
            </w:pPr>
            <w:r w:rsidRPr="005D1BE0">
              <w:rPr>
                <w:rFonts w:ascii="Times New Roman" w:eastAsia="標楷體" w:hAnsi="Times New Roman"/>
                <w:color w:val="000000"/>
              </w:rPr>
              <w:t>提供強制社區治療服務，並符合精神衛生法規定</w:t>
            </w:r>
          </w:p>
        </w:tc>
        <w:tc>
          <w:tcPr>
            <w:tcW w:w="1037" w:type="pct"/>
            <w:noWrap/>
            <w:vAlign w:val="center"/>
          </w:tcPr>
          <w:p w:rsidR="00E53B6A" w:rsidRPr="005D1BE0" w:rsidRDefault="00E53B6A" w:rsidP="000A5727">
            <w:pPr>
              <w:rPr>
                <w:rFonts w:ascii="Times New Roman" w:hAnsi="Times New Roman"/>
                <w:color w:val="000000"/>
              </w:rPr>
            </w:pPr>
            <w:r w:rsidRPr="005D1BE0">
              <w:rPr>
                <w:rFonts w:ascii="Times New Roman" w:eastAsia="標楷體" w:hAnsi="Times New Roman"/>
                <w:color w:val="000000"/>
              </w:rPr>
              <w:t>非直轄市、縣（市）衛生局所指定強制社區治療之精神醫療機構者，可自選本條免評。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08796C"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4</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2.4.1</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依醫院的角色任務，提供急診病人處置能力</w:t>
            </w:r>
          </w:p>
        </w:tc>
        <w:tc>
          <w:tcPr>
            <w:tcW w:w="1037" w:type="pct"/>
            <w:noWrap/>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未設有急診室者，或經中央主管機關同意不設急診室者，可自選本條免評。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Pr>
                <w:rFonts w:ascii="Times New Roman" w:eastAsia="標楷體" w:hAnsi="Times New Roman"/>
              </w:rPr>
              <w:t>得</w:t>
            </w:r>
            <w:r>
              <w:rPr>
                <w:rFonts w:ascii="Times New Roman" w:eastAsia="標楷體" w:hAnsi="Times New Roman"/>
              </w:rPr>
              <w:t>NA</w:t>
            </w:r>
            <w:r>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Default="00E53B6A" w:rsidP="000A5727">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5</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2.4.2</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良好的加護病房管理、收案評估、診療品質與紀錄</w:t>
            </w:r>
          </w:p>
        </w:tc>
        <w:tc>
          <w:tcPr>
            <w:tcW w:w="1037" w:type="pct"/>
            <w:noWrap/>
            <w:vAlign w:val="center"/>
          </w:tcPr>
          <w:p w:rsidR="00E53B6A" w:rsidRPr="005D1BE0" w:rsidRDefault="00E53B6A" w:rsidP="000A5727">
            <w:pPr>
              <w:rPr>
                <w:rFonts w:ascii="Times New Roman" w:hAnsi="Times New Roman"/>
                <w:color w:val="000000"/>
              </w:rPr>
            </w:pPr>
            <w:r w:rsidRPr="005D1BE0">
              <w:rPr>
                <w:rFonts w:ascii="Times New Roman" w:eastAsia="標楷體" w:hAnsi="Times New Roman"/>
                <w:color w:val="000000"/>
              </w:rPr>
              <w:t>未設有加護病房者，可自選本條免評。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Pr>
                <w:rFonts w:ascii="Times New Roman" w:eastAsia="標楷體" w:hAnsi="Times New Roman"/>
              </w:rPr>
              <w:t>得</w:t>
            </w:r>
            <w:r>
              <w:rPr>
                <w:rFonts w:ascii="Times New Roman" w:eastAsia="標楷體" w:hAnsi="Times New Roman"/>
              </w:rPr>
              <w:t>NA</w:t>
            </w:r>
            <w:r>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6</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2.4.3</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精神科慢性病房照護業務應提供以病人為中心之治療模式</w:t>
            </w:r>
          </w:p>
        </w:tc>
        <w:tc>
          <w:tcPr>
            <w:tcW w:w="1037" w:type="pct"/>
            <w:noWrap/>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未設有精神科慢性一般病房者，可自選本條免評。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7</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2.4.4</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精神科日間照護業務應提供以病人為中心之治療模式</w:t>
            </w:r>
          </w:p>
        </w:tc>
        <w:tc>
          <w:tcPr>
            <w:tcW w:w="1037" w:type="pct"/>
            <w:noWrap/>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未設有精神科日間照護單位者，可自選本條免評。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8</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0A5727">
            <w:pPr>
              <w:jc w:val="both"/>
              <w:rPr>
                <w:rFonts w:ascii="Times New Roman" w:hAnsi="Times New Roman"/>
                <w:color w:val="000000"/>
              </w:rPr>
            </w:pPr>
            <w:r w:rsidRPr="005D1BE0">
              <w:rPr>
                <w:rFonts w:ascii="Times New Roman" w:hAnsi="Times New Roman"/>
                <w:color w:val="000000"/>
              </w:rPr>
              <w:t>2.4.7</w:t>
            </w:r>
          </w:p>
        </w:tc>
        <w:tc>
          <w:tcPr>
            <w:tcW w:w="1037" w:type="pct"/>
            <w:vAlign w:val="center"/>
          </w:tcPr>
          <w:p w:rsidR="00E53B6A" w:rsidRPr="005D1BE0" w:rsidRDefault="00E53B6A" w:rsidP="000A5727">
            <w:pPr>
              <w:jc w:val="both"/>
              <w:rPr>
                <w:rFonts w:ascii="Times New Roman" w:eastAsia="標楷體" w:hAnsi="Times New Roman"/>
                <w:color w:val="000000"/>
              </w:rPr>
            </w:pPr>
            <w:r w:rsidRPr="005D1BE0">
              <w:rPr>
                <w:rFonts w:ascii="Times New Roman" w:eastAsia="標楷體" w:hAnsi="Times New Roman"/>
                <w:color w:val="000000"/>
              </w:rPr>
              <w:t>設有成癮治療專業人力提供酒精、藥物成癮者治療服務並掌握執行情形、品質檢討及改善分析</w:t>
            </w:r>
          </w:p>
        </w:tc>
        <w:tc>
          <w:tcPr>
            <w:tcW w:w="1037" w:type="pct"/>
            <w:noWrap/>
            <w:vAlign w:val="center"/>
          </w:tcPr>
          <w:p w:rsidR="00E53B6A" w:rsidRPr="005D1BE0" w:rsidRDefault="00E53B6A" w:rsidP="000A5727">
            <w:pPr>
              <w:rPr>
                <w:rFonts w:ascii="Times New Roman" w:hAnsi="Times New Roman"/>
                <w:color w:val="000000"/>
              </w:rPr>
            </w:pPr>
            <w:r w:rsidRPr="005D1BE0">
              <w:rPr>
                <w:rFonts w:ascii="Times New Roman" w:eastAsia="標楷體" w:hAnsi="Times New Roman"/>
                <w:color w:val="000000"/>
              </w:rPr>
              <w:t>非衛生福利部指定藥癮戒治機構者，可自選本條免評。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9</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r w:rsidRPr="005D1BE0">
              <w:rPr>
                <w:rFonts w:ascii="Times New Roman" w:eastAsia="標楷體" w:hAnsi="Times New Roman"/>
                <w:color w:val="000000"/>
              </w:rPr>
              <w:br/>
            </w:r>
            <w:r w:rsidRPr="005D1BE0">
              <w:rPr>
                <w:rFonts w:ascii="Times New Roman" w:eastAsia="標楷體" w:hAnsi="Times New Roman"/>
                <w:color w:val="000000"/>
              </w:rPr>
              <w:t>試</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2.4.22</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牙醫部門應有完備之設施、設備、儀器，並確實執行保養管理及清潔管理</w:t>
            </w:r>
          </w:p>
        </w:tc>
        <w:tc>
          <w:tcPr>
            <w:tcW w:w="1037" w:type="pct"/>
            <w:noWrap/>
            <w:vAlign w:val="center"/>
          </w:tcPr>
          <w:p w:rsidR="009F0FAA" w:rsidRDefault="00E53B6A" w:rsidP="009F0FAA">
            <w:pPr>
              <w:rPr>
                <w:rFonts w:ascii="Times New Roman" w:eastAsia="標楷體" w:hAnsi="Times New Roman"/>
                <w:color w:val="000000"/>
              </w:rPr>
            </w:pPr>
            <w:r w:rsidRPr="005D1BE0">
              <w:rPr>
                <w:rFonts w:ascii="Times New Roman" w:eastAsia="標楷體" w:hAnsi="Times New Roman"/>
                <w:color w:val="000000"/>
              </w:rPr>
              <w:t>符合下列全部條件者，可自選本條免評：</w:t>
            </w:r>
          </w:p>
          <w:p w:rsidR="009F0FAA" w:rsidRDefault="00E53B6A" w:rsidP="009F0FAA">
            <w:pPr>
              <w:numPr>
                <w:ilvl w:val="0"/>
                <w:numId w:val="8"/>
              </w:numPr>
              <w:ind w:left="606" w:hanging="347"/>
              <w:rPr>
                <w:rFonts w:ascii="Times New Roman" w:eastAsia="標楷體" w:hAnsi="Times New Roman"/>
                <w:color w:val="000000"/>
              </w:rPr>
            </w:pPr>
            <w:r w:rsidRPr="005D1BE0">
              <w:rPr>
                <w:rFonts w:ascii="Times New Roman" w:eastAsia="標楷體" w:hAnsi="Times New Roman"/>
                <w:color w:val="000000"/>
              </w:rPr>
              <w:t>未設置牙科、口腔顎面</w:t>
            </w:r>
            <w:r w:rsidRPr="005D1BE0">
              <w:rPr>
                <w:rFonts w:ascii="Times New Roman" w:eastAsia="標楷體" w:hAnsi="Times New Roman"/>
                <w:color w:val="000000"/>
              </w:rPr>
              <w:lastRenderedPageBreak/>
              <w:t>外科、口腔病理科、齒顎矯正科。</w:t>
            </w:r>
          </w:p>
          <w:p w:rsidR="00E53B6A" w:rsidRPr="005D1BE0" w:rsidRDefault="00E53B6A" w:rsidP="009F0FAA">
            <w:pPr>
              <w:numPr>
                <w:ilvl w:val="0"/>
                <w:numId w:val="8"/>
              </w:numPr>
              <w:ind w:left="606" w:hanging="347"/>
              <w:rPr>
                <w:rFonts w:ascii="Times New Roman" w:hAnsi="Times New Roman"/>
                <w:color w:val="000000"/>
              </w:rPr>
            </w:pPr>
            <w:r w:rsidRPr="005D1BE0">
              <w:rPr>
                <w:rFonts w:ascii="Times New Roman" w:eastAsia="標楷體" w:hAnsi="Times New Roman"/>
                <w:color w:val="000000"/>
              </w:rPr>
              <w:t>未提供牙科相關服務。</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lastRenderedPageBreak/>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lastRenderedPageBreak/>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lastRenderedPageBreak/>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10</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r w:rsidRPr="005D1BE0">
              <w:rPr>
                <w:rFonts w:ascii="Times New Roman" w:eastAsia="標楷體" w:hAnsi="Times New Roman"/>
                <w:color w:val="000000"/>
              </w:rPr>
              <w:br/>
            </w:r>
            <w:r w:rsidRPr="005D1BE0">
              <w:rPr>
                <w:rFonts w:ascii="Times New Roman" w:eastAsia="標楷體" w:hAnsi="Times New Roman"/>
                <w:color w:val="000000"/>
              </w:rPr>
              <w:t>試</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2.4.23</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具備符合標準之牙科照護作業程序，並確實執行</w:t>
            </w:r>
          </w:p>
        </w:tc>
        <w:tc>
          <w:tcPr>
            <w:tcW w:w="1037" w:type="pct"/>
            <w:noWrap/>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符合下列全部條件者，可自選本條免評：</w:t>
            </w:r>
          </w:p>
          <w:p w:rsidR="00E53B6A" w:rsidRPr="005D1BE0" w:rsidRDefault="00E53B6A" w:rsidP="009F0FAA">
            <w:pPr>
              <w:numPr>
                <w:ilvl w:val="0"/>
                <w:numId w:val="15"/>
              </w:numPr>
              <w:ind w:left="606" w:hanging="347"/>
              <w:rPr>
                <w:rFonts w:ascii="Times New Roman" w:hAnsi="Times New Roman"/>
                <w:color w:val="000000"/>
              </w:rPr>
            </w:pPr>
            <w:r w:rsidRPr="005D1BE0">
              <w:rPr>
                <w:rFonts w:ascii="Times New Roman" w:eastAsia="標楷體" w:hAnsi="Times New Roman"/>
                <w:color w:val="000000"/>
              </w:rPr>
              <w:t>未設置牙科、口腔顎面外科、口腔病理科、齒顎矯正科。</w:t>
            </w:r>
          </w:p>
          <w:p w:rsidR="00E53B6A" w:rsidRPr="005D1BE0" w:rsidRDefault="00E53B6A" w:rsidP="009F0FAA">
            <w:pPr>
              <w:numPr>
                <w:ilvl w:val="0"/>
                <w:numId w:val="15"/>
              </w:numPr>
              <w:ind w:left="606" w:hanging="347"/>
              <w:rPr>
                <w:rFonts w:ascii="Times New Roman" w:hAnsi="Times New Roman"/>
                <w:color w:val="000000"/>
              </w:rPr>
            </w:pPr>
            <w:r w:rsidRPr="005D1BE0">
              <w:rPr>
                <w:rFonts w:ascii="Times New Roman" w:eastAsia="標楷體" w:hAnsi="Times New Roman"/>
                <w:color w:val="000000"/>
              </w:rPr>
              <w:t>未提供牙科相關服務。</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11</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r w:rsidRPr="005D1BE0">
              <w:rPr>
                <w:rFonts w:ascii="Times New Roman" w:eastAsia="標楷體" w:hAnsi="Times New Roman"/>
                <w:color w:val="000000"/>
              </w:rPr>
              <w:br/>
            </w:r>
            <w:r w:rsidRPr="005D1BE0">
              <w:rPr>
                <w:rFonts w:ascii="Times New Roman" w:eastAsia="標楷體" w:hAnsi="Times New Roman"/>
                <w:color w:val="000000"/>
              </w:rPr>
              <w:t>試</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2.4.24</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牙醫部門具有完備之品質管理政策及病人安全措施</w:t>
            </w:r>
          </w:p>
        </w:tc>
        <w:tc>
          <w:tcPr>
            <w:tcW w:w="1037" w:type="pct"/>
            <w:noWrap/>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符合下列全部條件者，可自選本條免評：</w:t>
            </w:r>
          </w:p>
          <w:p w:rsidR="00E53B6A" w:rsidRPr="005D1BE0" w:rsidRDefault="00E53B6A" w:rsidP="000A5727">
            <w:pPr>
              <w:numPr>
                <w:ilvl w:val="0"/>
                <w:numId w:val="9"/>
              </w:numPr>
              <w:ind w:left="606" w:hanging="347"/>
              <w:rPr>
                <w:rFonts w:ascii="Times New Roman" w:eastAsia="標楷體" w:hAnsi="Times New Roman"/>
                <w:color w:val="000000"/>
              </w:rPr>
            </w:pPr>
            <w:r w:rsidRPr="005D1BE0">
              <w:rPr>
                <w:rFonts w:ascii="Times New Roman" w:eastAsia="標楷體" w:hAnsi="Times New Roman"/>
                <w:color w:val="000000"/>
              </w:rPr>
              <w:t>未設置牙科、口腔顎面外科、口腔病理科、齒顎矯正科。</w:t>
            </w:r>
          </w:p>
          <w:p w:rsidR="00E53B6A" w:rsidRPr="005D1BE0" w:rsidRDefault="00E53B6A" w:rsidP="000A5727">
            <w:pPr>
              <w:numPr>
                <w:ilvl w:val="0"/>
                <w:numId w:val="9"/>
              </w:numPr>
              <w:ind w:left="606" w:hanging="347"/>
              <w:rPr>
                <w:rFonts w:ascii="Times New Roman" w:eastAsia="標楷體" w:hAnsi="Times New Roman"/>
                <w:color w:val="000000"/>
              </w:rPr>
            </w:pPr>
            <w:r w:rsidRPr="005D1BE0">
              <w:rPr>
                <w:rFonts w:ascii="Times New Roman" w:eastAsia="標楷體" w:hAnsi="Times New Roman"/>
                <w:color w:val="000000"/>
              </w:rPr>
              <w:t>未提供牙科相關服務。</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12</w:t>
            </w:r>
          </w:p>
        </w:tc>
        <w:tc>
          <w:tcPr>
            <w:tcW w:w="187"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w:t>
            </w:r>
          </w:p>
        </w:tc>
        <w:tc>
          <w:tcPr>
            <w:tcW w:w="238" w:type="pct"/>
            <w:vAlign w:val="center"/>
          </w:tcPr>
          <w:p w:rsidR="00E53B6A" w:rsidRPr="005D1BE0" w:rsidRDefault="00E53B6A" w:rsidP="000A5727">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r w:rsidRPr="005D1BE0">
              <w:rPr>
                <w:rFonts w:ascii="Times New Roman" w:eastAsia="標楷體" w:hAnsi="Times New Roman"/>
                <w:color w:val="000000"/>
              </w:rPr>
              <w:br/>
            </w:r>
            <w:r w:rsidRPr="005D1BE0">
              <w:rPr>
                <w:rFonts w:ascii="Times New Roman" w:eastAsia="標楷體" w:hAnsi="Times New Roman"/>
                <w:color w:val="000000"/>
              </w:rPr>
              <w:t>試</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2.4.25</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應由適當中醫醫療團隊提供中醫及跨團隊醫療照護</w:t>
            </w:r>
          </w:p>
        </w:tc>
        <w:tc>
          <w:tcPr>
            <w:tcW w:w="1037" w:type="pct"/>
            <w:noWrap/>
            <w:vAlign w:val="center"/>
          </w:tcPr>
          <w:p w:rsidR="00E53B6A" w:rsidRPr="005D1BE0" w:rsidRDefault="00E53B6A" w:rsidP="000A5727">
            <w:pPr>
              <w:rPr>
                <w:rFonts w:ascii="Times New Roman" w:hAnsi="Times New Roman"/>
                <w:color w:val="000000"/>
              </w:rPr>
            </w:pPr>
            <w:r w:rsidRPr="005D1BE0">
              <w:rPr>
                <w:rFonts w:ascii="Times New Roman" w:eastAsia="標楷體" w:hAnsi="Times New Roman"/>
                <w:color w:val="000000"/>
              </w:rPr>
              <w:t>中醫部門未達</w:t>
            </w:r>
            <w:r w:rsidRPr="005D1BE0">
              <w:rPr>
                <w:rFonts w:ascii="Times New Roman" w:hAnsi="Times New Roman"/>
                <w:color w:val="000000"/>
              </w:rPr>
              <w:t>4</w:t>
            </w:r>
            <w:r w:rsidRPr="005D1BE0">
              <w:rPr>
                <w:rFonts w:ascii="Times New Roman" w:eastAsia="標楷體" w:hAnsi="Times New Roman"/>
                <w:color w:val="000000"/>
              </w:rPr>
              <w:t>名中醫師者，本條免評。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13</w:t>
            </w:r>
          </w:p>
        </w:tc>
        <w:tc>
          <w:tcPr>
            <w:tcW w:w="187" w:type="pct"/>
            <w:vAlign w:val="center"/>
          </w:tcPr>
          <w:p w:rsidR="00E53B6A" w:rsidRPr="005D1BE0" w:rsidRDefault="00E53B6A" w:rsidP="000A5727">
            <w:pPr>
              <w:snapToGrid w:val="0"/>
              <w:jc w:val="center"/>
              <w:rPr>
                <w:rFonts w:ascii="Times New Roman" w:eastAsia="標楷體" w:hAnsi="Times New Roman"/>
                <w:szCs w:val="24"/>
              </w:rPr>
            </w:pPr>
            <w:r w:rsidRPr="005D1BE0">
              <w:rPr>
                <w:rFonts w:ascii="Times New Roman" w:eastAsia="標楷體" w:hAnsi="Times New Roman"/>
                <w:szCs w:val="24"/>
              </w:rPr>
              <w:t>1</w:t>
            </w:r>
          </w:p>
        </w:tc>
        <w:tc>
          <w:tcPr>
            <w:tcW w:w="238" w:type="pct"/>
            <w:vAlign w:val="center"/>
          </w:tcPr>
          <w:p w:rsidR="00E53B6A" w:rsidRPr="005D1BE0" w:rsidRDefault="00E53B6A" w:rsidP="000A5727">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r w:rsidRPr="005D1BE0">
              <w:rPr>
                <w:rFonts w:ascii="Times New Roman" w:eastAsia="標楷體" w:hAnsi="Times New Roman"/>
                <w:color w:val="000000"/>
              </w:rPr>
              <w:br/>
            </w:r>
            <w:r w:rsidRPr="005D1BE0">
              <w:rPr>
                <w:rFonts w:ascii="Times New Roman" w:eastAsia="標楷體" w:hAnsi="Times New Roman"/>
                <w:color w:val="000000"/>
              </w:rPr>
              <w:t>試</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2.4.26</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中醫部門應有完備之設施、設備、儀器，並確實執行保養管理及清潔管理</w:t>
            </w:r>
          </w:p>
        </w:tc>
        <w:tc>
          <w:tcPr>
            <w:tcW w:w="1037" w:type="pct"/>
            <w:noWrap/>
            <w:vAlign w:val="center"/>
          </w:tcPr>
          <w:p w:rsidR="00E53B6A" w:rsidRPr="005D1BE0" w:rsidRDefault="00E53B6A" w:rsidP="000A5727">
            <w:pPr>
              <w:rPr>
                <w:rFonts w:ascii="Times New Roman" w:hAnsi="Times New Roman"/>
                <w:color w:val="000000"/>
              </w:rPr>
            </w:pPr>
            <w:r w:rsidRPr="005D1BE0">
              <w:rPr>
                <w:rFonts w:ascii="Times New Roman" w:eastAsia="標楷體" w:hAnsi="Times New Roman"/>
                <w:color w:val="000000"/>
              </w:rPr>
              <w:t>中醫部門未達</w:t>
            </w:r>
            <w:r w:rsidRPr="005D1BE0">
              <w:rPr>
                <w:rFonts w:ascii="Times New Roman" w:hAnsi="Times New Roman"/>
                <w:color w:val="000000"/>
              </w:rPr>
              <w:t>4</w:t>
            </w:r>
            <w:r w:rsidRPr="005D1BE0">
              <w:rPr>
                <w:rFonts w:ascii="Times New Roman" w:eastAsia="標楷體" w:hAnsi="Times New Roman"/>
                <w:color w:val="000000"/>
              </w:rPr>
              <w:t>名中醫師者，本條免評。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14</w:t>
            </w:r>
          </w:p>
        </w:tc>
        <w:tc>
          <w:tcPr>
            <w:tcW w:w="187" w:type="pct"/>
            <w:vAlign w:val="center"/>
          </w:tcPr>
          <w:p w:rsidR="00E53B6A" w:rsidRPr="005D1BE0" w:rsidRDefault="00E53B6A" w:rsidP="000A5727">
            <w:pPr>
              <w:snapToGrid w:val="0"/>
              <w:jc w:val="center"/>
              <w:rPr>
                <w:rFonts w:ascii="Times New Roman" w:eastAsia="標楷體" w:hAnsi="Times New Roman"/>
                <w:szCs w:val="24"/>
              </w:rPr>
            </w:pPr>
            <w:r w:rsidRPr="005D1BE0">
              <w:rPr>
                <w:rFonts w:ascii="Times New Roman" w:eastAsia="標楷體" w:hAnsi="Times New Roman"/>
                <w:szCs w:val="24"/>
              </w:rPr>
              <w:t>1</w:t>
            </w:r>
          </w:p>
        </w:tc>
        <w:tc>
          <w:tcPr>
            <w:tcW w:w="238" w:type="pct"/>
            <w:vAlign w:val="center"/>
          </w:tcPr>
          <w:p w:rsidR="00E53B6A" w:rsidRPr="005D1BE0" w:rsidRDefault="00E53B6A" w:rsidP="000A5727">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r w:rsidRPr="005D1BE0">
              <w:rPr>
                <w:rFonts w:ascii="Times New Roman" w:eastAsia="標楷體" w:hAnsi="Times New Roman"/>
                <w:color w:val="000000"/>
              </w:rPr>
              <w:br/>
            </w:r>
            <w:r w:rsidRPr="005D1BE0">
              <w:rPr>
                <w:rFonts w:ascii="Times New Roman" w:eastAsia="標楷體" w:hAnsi="Times New Roman"/>
                <w:color w:val="000000"/>
              </w:rPr>
              <w:t>試</w:t>
            </w:r>
          </w:p>
        </w:tc>
        <w:tc>
          <w:tcPr>
            <w:tcW w:w="236"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2.4.27</w:t>
            </w:r>
          </w:p>
        </w:tc>
        <w:tc>
          <w:tcPr>
            <w:tcW w:w="1037" w:type="pct"/>
            <w:vAlign w:val="center"/>
          </w:tcPr>
          <w:p w:rsidR="00E53B6A" w:rsidRPr="005D1BE0" w:rsidRDefault="00E53B6A" w:rsidP="000A5727">
            <w:pPr>
              <w:rPr>
                <w:rFonts w:ascii="Times New Roman" w:eastAsia="標楷體" w:hAnsi="Times New Roman"/>
                <w:color w:val="000000"/>
              </w:rPr>
            </w:pPr>
            <w:r w:rsidRPr="005D1BE0">
              <w:rPr>
                <w:rFonts w:ascii="Times New Roman" w:eastAsia="標楷體" w:hAnsi="Times New Roman"/>
                <w:color w:val="000000"/>
              </w:rPr>
              <w:t>中醫部門具有完備的病人安全措施</w:t>
            </w:r>
          </w:p>
        </w:tc>
        <w:tc>
          <w:tcPr>
            <w:tcW w:w="1037" w:type="pct"/>
            <w:noWrap/>
            <w:vAlign w:val="center"/>
          </w:tcPr>
          <w:p w:rsidR="00E53B6A" w:rsidRPr="005D1BE0" w:rsidRDefault="00E53B6A" w:rsidP="000A5727">
            <w:pPr>
              <w:rPr>
                <w:rFonts w:ascii="Times New Roman" w:hAnsi="Times New Roman"/>
                <w:color w:val="000000"/>
              </w:rPr>
            </w:pPr>
            <w:r w:rsidRPr="005D1BE0">
              <w:rPr>
                <w:rFonts w:ascii="Times New Roman" w:eastAsia="標楷體" w:hAnsi="Times New Roman"/>
                <w:color w:val="000000"/>
              </w:rPr>
              <w:t>中醫部門未達</w:t>
            </w:r>
            <w:r w:rsidRPr="005D1BE0">
              <w:rPr>
                <w:rFonts w:ascii="Times New Roman" w:hAnsi="Times New Roman"/>
                <w:color w:val="000000"/>
              </w:rPr>
              <w:t>4</w:t>
            </w:r>
            <w:r w:rsidRPr="005D1BE0">
              <w:rPr>
                <w:rFonts w:ascii="Times New Roman" w:eastAsia="標楷體" w:hAnsi="Times New Roman"/>
                <w:color w:val="000000"/>
              </w:rPr>
              <w:t>名中醫師者，本條免評。</w:t>
            </w:r>
          </w:p>
        </w:tc>
        <w:tc>
          <w:tcPr>
            <w:tcW w:w="705"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lastRenderedPageBreak/>
              <w:t>15</w:t>
            </w:r>
          </w:p>
        </w:tc>
        <w:tc>
          <w:tcPr>
            <w:tcW w:w="187" w:type="pct"/>
            <w:vAlign w:val="center"/>
          </w:tcPr>
          <w:p w:rsidR="00E53B6A" w:rsidRPr="00E53B6A" w:rsidRDefault="00E53B6A" w:rsidP="00E53B6A">
            <w:pPr>
              <w:snapToGrid w:val="0"/>
              <w:jc w:val="center"/>
              <w:rPr>
                <w:rFonts w:ascii="Times New Roman" w:eastAsia="標楷體" w:hAnsi="Times New Roman"/>
                <w:szCs w:val="24"/>
                <w:highlight w:val="yellow"/>
              </w:rPr>
            </w:pPr>
          </w:p>
        </w:tc>
        <w:tc>
          <w:tcPr>
            <w:tcW w:w="238" w:type="pct"/>
            <w:vAlign w:val="center"/>
          </w:tcPr>
          <w:p w:rsidR="00E53B6A" w:rsidRPr="005D1BE0" w:rsidRDefault="00E53B6A" w:rsidP="00E53B6A">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2.7.6</w:t>
            </w:r>
          </w:p>
        </w:tc>
        <w:tc>
          <w:tcPr>
            <w:tcW w:w="1037" w:type="pct"/>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具備合宜的放射診斷（含核子醫學）設備，並能確保其功能正常運作與環境安全</w:t>
            </w:r>
          </w:p>
        </w:tc>
        <w:tc>
          <w:tcPr>
            <w:tcW w:w="1037" w:type="pct"/>
            <w:noWrap/>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未有放射診斷或核子醫學儀器者，可自選本條免評。</w:t>
            </w:r>
          </w:p>
        </w:tc>
        <w:tc>
          <w:tcPr>
            <w:tcW w:w="705"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16</w:t>
            </w:r>
          </w:p>
        </w:tc>
        <w:tc>
          <w:tcPr>
            <w:tcW w:w="187" w:type="pct"/>
            <w:vAlign w:val="center"/>
          </w:tcPr>
          <w:p w:rsidR="00E53B6A" w:rsidRPr="005D1BE0" w:rsidRDefault="00E53B6A" w:rsidP="00E53B6A">
            <w:pPr>
              <w:snapToGrid w:val="0"/>
              <w:jc w:val="center"/>
              <w:rPr>
                <w:rFonts w:ascii="Times New Roman" w:eastAsia="標楷體" w:hAnsi="Times New Roman"/>
                <w:szCs w:val="24"/>
              </w:rPr>
            </w:pPr>
            <w:r w:rsidRPr="005D1BE0">
              <w:rPr>
                <w:rFonts w:ascii="Times New Roman" w:eastAsia="標楷體" w:hAnsi="Times New Roman"/>
                <w:szCs w:val="24"/>
              </w:rPr>
              <w:t>1</w:t>
            </w:r>
          </w:p>
        </w:tc>
        <w:tc>
          <w:tcPr>
            <w:tcW w:w="238" w:type="pct"/>
            <w:vAlign w:val="center"/>
          </w:tcPr>
          <w:p w:rsidR="00E53B6A" w:rsidRPr="005D1BE0" w:rsidRDefault="00E53B6A" w:rsidP="00E53B6A">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2.7.7</w:t>
            </w:r>
          </w:p>
        </w:tc>
        <w:tc>
          <w:tcPr>
            <w:tcW w:w="1037" w:type="pct"/>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具備符合標準之放射診斷（含核子醫學）作業程序，並確實執行</w:t>
            </w:r>
          </w:p>
        </w:tc>
        <w:tc>
          <w:tcPr>
            <w:tcW w:w="1037" w:type="pct"/>
            <w:noWrap/>
            <w:vAlign w:val="center"/>
          </w:tcPr>
          <w:p w:rsidR="00E53B6A" w:rsidRPr="005D1BE0" w:rsidRDefault="00E53B6A" w:rsidP="00E53B6A">
            <w:pPr>
              <w:rPr>
                <w:rFonts w:ascii="Times New Roman" w:hAnsi="Times New Roman"/>
                <w:color w:val="000000"/>
              </w:rPr>
            </w:pPr>
            <w:r w:rsidRPr="005D1BE0">
              <w:rPr>
                <w:rFonts w:ascii="Times New Roman" w:eastAsia="標楷體" w:hAnsi="Times New Roman"/>
                <w:color w:val="000000"/>
              </w:rPr>
              <w:t>未有放射診斷或核子醫學儀器者，可自選本條免評。</w:t>
            </w:r>
          </w:p>
        </w:tc>
        <w:tc>
          <w:tcPr>
            <w:tcW w:w="705"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17</w:t>
            </w:r>
          </w:p>
        </w:tc>
        <w:tc>
          <w:tcPr>
            <w:tcW w:w="187" w:type="pct"/>
            <w:vAlign w:val="center"/>
          </w:tcPr>
          <w:p w:rsidR="00E53B6A" w:rsidRPr="005D1BE0" w:rsidRDefault="00E53B6A" w:rsidP="00E53B6A">
            <w:pPr>
              <w:snapToGrid w:val="0"/>
              <w:jc w:val="center"/>
              <w:rPr>
                <w:rFonts w:ascii="Times New Roman" w:eastAsia="標楷體" w:hAnsi="Times New Roman"/>
                <w:szCs w:val="24"/>
              </w:rPr>
            </w:pPr>
            <w:r w:rsidRPr="005D1BE0">
              <w:rPr>
                <w:rFonts w:ascii="Times New Roman" w:eastAsia="標楷體" w:hAnsi="Times New Roman"/>
                <w:szCs w:val="24"/>
              </w:rPr>
              <w:t>1</w:t>
            </w:r>
          </w:p>
        </w:tc>
        <w:tc>
          <w:tcPr>
            <w:tcW w:w="238" w:type="pct"/>
            <w:vAlign w:val="center"/>
          </w:tcPr>
          <w:p w:rsidR="00E53B6A" w:rsidRPr="005D1BE0" w:rsidRDefault="00E53B6A" w:rsidP="00E53B6A">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36"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2.7.8</w:t>
            </w:r>
          </w:p>
        </w:tc>
        <w:tc>
          <w:tcPr>
            <w:tcW w:w="1037" w:type="pct"/>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放射診斷（含核子醫學）作業具有完備的品質保證措施</w:t>
            </w:r>
          </w:p>
        </w:tc>
        <w:tc>
          <w:tcPr>
            <w:tcW w:w="1037" w:type="pct"/>
            <w:noWrap/>
            <w:vAlign w:val="center"/>
          </w:tcPr>
          <w:p w:rsidR="00E53B6A" w:rsidRPr="005D1BE0" w:rsidRDefault="00E53B6A" w:rsidP="00E53B6A">
            <w:pPr>
              <w:rPr>
                <w:rFonts w:ascii="Times New Roman" w:hAnsi="Times New Roman"/>
                <w:color w:val="000000"/>
              </w:rPr>
            </w:pPr>
            <w:r w:rsidRPr="005D1BE0">
              <w:rPr>
                <w:rFonts w:ascii="Times New Roman" w:eastAsia="標楷體" w:hAnsi="Times New Roman"/>
                <w:color w:val="000000"/>
              </w:rPr>
              <w:t>未有放射診斷或核子醫學儀器者，可自選本條免評。</w:t>
            </w:r>
          </w:p>
        </w:tc>
        <w:tc>
          <w:tcPr>
            <w:tcW w:w="705"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5" w:type="pct"/>
          </w:tcPr>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c>
          <w:tcPr>
            <w:tcW w:w="704" w:type="pct"/>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與醫策會初步查核</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相同</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不同，請說明：</w:t>
            </w:r>
          </w:p>
        </w:tc>
      </w:tr>
    </w:tbl>
    <w:p w:rsidR="005203D6" w:rsidRPr="00E32A46" w:rsidRDefault="005203D6" w:rsidP="00E32A46">
      <w:pPr>
        <w:spacing w:line="240" w:lineRule="atLeast"/>
        <w:ind w:leftChars="-25" w:left="660" w:hangingChars="300" w:hanging="720"/>
        <w:rPr>
          <w:rFonts w:ascii="Times New Roman" w:eastAsia="標楷體" w:hAnsi="Times New Roman"/>
          <w:szCs w:val="24"/>
        </w:rPr>
      </w:pPr>
      <w:r w:rsidRPr="00E32A46">
        <w:rPr>
          <w:rFonts w:ascii="Times New Roman" w:eastAsia="標楷體" w:hAnsi="Times New Roman"/>
          <w:szCs w:val="24"/>
        </w:rPr>
        <w:t>註</w:t>
      </w:r>
      <w:r w:rsidRPr="00E32A46">
        <w:rPr>
          <w:rFonts w:ascii="Times New Roman" w:eastAsia="標楷體" w:hAnsi="Times New Roman"/>
          <w:szCs w:val="24"/>
        </w:rPr>
        <w:t>1</w:t>
      </w:r>
      <w:r w:rsidRPr="00E32A46">
        <w:rPr>
          <w:rFonts w:ascii="Times New Roman" w:eastAsia="標楷體" w:hAnsi="Times New Roman"/>
          <w:szCs w:val="24"/>
        </w:rPr>
        <w:t>：本表「初步查核」欄結果係</w:t>
      </w:r>
      <w:r w:rsidRPr="006876C2">
        <w:rPr>
          <w:rFonts w:ascii="Times New Roman" w:eastAsia="標楷體" w:hAnsi="Times New Roman"/>
          <w:szCs w:val="24"/>
        </w:rPr>
        <w:t>由醫策會</w:t>
      </w:r>
      <w:r w:rsidR="00E32A46" w:rsidRPr="006876C2">
        <w:rPr>
          <w:rFonts w:ascii="Times New Roman" w:eastAsia="標楷體" w:hAnsi="Times New Roman"/>
          <w:szCs w:val="24"/>
        </w:rPr>
        <w:t>代表</w:t>
      </w:r>
      <w:r w:rsidRPr="006876C2">
        <w:rPr>
          <w:rFonts w:ascii="Times New Roman" w:eastAsia="標楷體" w:hAnsi="Times New Roman"/>
          <w:szCs w:val="24"/>
        </w:rPr>
        <w:t>參考</w:t>
      </w:r>
      <w:r w:rsidR="00E32A46" w:rsidRPr="006876C2">
        <w:rPr>
          <w:rFonts w:ascii="Times New Roman" w:eastAsia="標楷體" w:hAnsi="Times New Roman"/>
          <w:szCs w:val="24"/>
        </w:rPr>
        <w:t>衛生福利部</w:t>
      </w:r>
      <w:r w:rsidRPr="006876C2">
        <w:rPr>
          <w:rFonts w:ascii="Times New Roman" w:eastAsia="標楷體" w:hAnsi="Times New Roman"/>
          <w:szCs w:val="24"/>
        </w:rPr>
        <w:t>提供之報表、醫院</w:t>
      </w:r>
      <w:r w:rsidRPr="00E32A46">
        <w:rPr>
          <w:rFonts w:ascii="Times New Roman" w:eastAsia="標楷體" w:hAnsi="Times New Roman"/>
          <w:szCs w:val="24"/>
        </w:rPr>
        <w:t>填報資料初步查核所得，請各衛生局於實地評鑑時協助查證確認。</w:t>
      </w:r>
    </w:p>
    <w:p w:rsidR="00262CBB" w:rsidRDefault="005203D6" w:rsidP="00262CBB">
      <w:pPr>
        <w:spacing w:line="240" w:lineRule="atLeast"/>
        <w:ind w:leftChars="-25" w:left="660" w:hangingChars="300" w:hanging="720"/>
        <w:rPr>
          <w:rFonts w:ascii="Times New Roman" w:eastAsia="標楷體" w:hAnsi="Times New Roman"/>
          <w:bCs/>
          <w:szCs w:val="24"/>
        </w:rPr>
      </w:pPr>
      <w:r w:rsidRPr="00E32A46">
        <w:rPr>
          <w:rFonts w:ascii="Times New Roman" w:eastAsia="標楷體" w:hAnsi="Times New Roman"/>
          <w:szCs w:val="24"/>
        </w:rPr>
        <w:t>註</w:t>
      </w:r>
      <w:r w:rsidRPr="00E32A46">
        <w:rPr>
          <w:rFonts w:ascii="Times New Roman" w:eastAsia="標楷體" w:hAnsi="Times New Roman"/>
          <w:szCs w:val="24"/>
        </w:rPr>
        <w:t>2</w:t>
      </w:r>
      <w:r w:rsidRPr="00E32A46">
        <w:rPr>
          <w:rFonts w:ascii="Times New Roman" w:eastAsia="標楷體" w:hAnsi="Times New Roman"/>
          <w:szCs w:val="24"/>
        </w:rPr>
        <w:t>：實地評鑑期間，若有對醫院提供之服務內容或設施設備有疑義時，請各衛生局同仁協助確認，並請於</w:t>
      </w:r>
      <w:r w:rsidRPr="00E32A46">
        <w:rPr>
          <w:rFonts w:ascii="Times New Roman" w:eastAsia="標楷體" w:hAnsi="Times New Roman"/>
          <w:bCs/>
          <w:szCs w:val="24"/>
        </w:rPr>
        <w:t>「</w:t>
      </w:r>
      <w:r w:rsidRPr="00E32A46">
        <w:rPr>
          <w:rFonts w:ascii="Times New Roman" w:eastAsia="標楷體" w:hAnsi="Times New Roman"/>
          <w:szCs w:val="24"/>
        </w:rPr>
        <w:t>交換意見及陪同人員必要之說明</w:t>
      </w:r>
      <w:r w:rsidRPr="00E32A46">
        <w:rPr>
          <w:rFonts w:ascii="Times New Roman" w:eastAsia="標楷體" w:hAnsi="Times New Roman"/>
          <w:bCs/>
          <w:szCs w:val="24"/>
        </w:rPr>
        <w:t>」時段回饋查證結果予評鑑委員參考。</w:t>
      </w:r>
    </w:p>
    <w:p w:rsidR="00E24A04" w:rsidRPr="00E32A46" w:rsidRDefault="005203D6" w:rsidP="00262CBB">
      <w:pPr>
        <w:spacing w:line="240" w:lineRule="atLeast"/>
        <w:ind w:leftChars="-25" w:left="540" w:hangingChars="300" w:hanging="600"/>
        <w:rPr>
          <w:rFonts w:ascii="Times New Roman" w:eastAsia="標楷體" w:hAnsi="Times New Roman"/>
          <w:b/>
          <w:bCs/>
          <w:sz w:val="28"/>
          <w:szCs w:val="28"/>
          <w:u w:val="single"/>
        </w:rPr>
      </w:pPr>
      <w:r w:rsidRPr="00E32A46">
        <w:rPr>
          <w:rFonts w:ascii="Times New Roman" w:eastAsia="標楷體" w:hAnsi="Times New Roman"/>
          <w:sz w:val="20"/>
          <w:szCs w:val="20"/>
        </w:rPr>
        <w:br w:type="page"/>
      </w:r>
      <w:r w:rsidR="00262CBB" w:rsidRPr="00262CBB">
        <w:rPr>
          <w:rFonts w:ascii="Times New Roman" w:eastAsia="標楷體" w:hAnsi="Times New Roman" w:hint="eastAsia"/>
          <w:b/>
          <w:bCs/>
          <w:sz w:val="28"/>
          <w:szCs w:val="28"/>
        </w:rPr>
        <w:lastRenderedPageBreak/>
        <w:t>三、</w:t>
      </w:r>
      <w:r w:rsidRPr="00E32A46">
        <w:rPr>
          <w:rFonts w:ascii="Times New Roman" w:eastAsia="標楷體" w:hAnsi="Times New Roman"/>
          <w:b/>
          <w:bCs/>
          <w:sz w:val="28"/>
          <w:szCs w:val="28"/>
        </w:rPr>
        <w:t>請貴院依醫院功能或服務理念，醫院實際具有之設施或提供之服務項目填寫</w:t>
      </w:r>
      <w:r w:rsidRPr="00E32A46">
        <w:rPr>
          <w:rFonts w:ascii="Times New Roman" w:eastAsia="標楷體" w:hAnsi="Times New Roman"/>
          <w:b/>
          <w:bCs/>
          <w:sz w:val="28"/>
          <w:szCs w:val="28"/>
          <w:u w:val="single"/>
        </w:rPr>
        <w:t>，此類由委員實地查核確認。</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0"/>
        <w:gridCol w:w="561"/>
        <w:gridCol w:w="713"/>
        <w:gridCol w:w="716"/>
        <w:gridCol w:w="4253"/>
        <w:gridCol w:w="4184"/>
        <w:gridCol w:w="4035"/>
      </w:tblGrid>
      <w:tr w:rsidR="00E53B6A" w:rsidRPr="005D1BE0" w:rsidTr="00262CBB">
        <w:trPr>
          <w:trHeight w:val="399"/>
          <w:tblHeader/>
        </w:trPr>
        <w:tc>
          <w:tcPr>
            <w:tcW w:w="151" w:type="pct"/>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項次</w:t>
            </w:r>
          </w:p>
        </w:tc>
        <w:tc>
          <w:tcPr>
            <w:tcW w:w="188" w:type="pct"/>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認定原則</w:t>
            </w:r>
          </w:p>
        </w:tc>
        <w:tc>
          <w:tcPr>
            <w:tcW w:w="479" w:type="pct"/>
            <w:gridSpan w:val="2"/>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條號</w:t>
            </w:r>
          </w:p>
        </w:tc>
        <w:tc>
          <w:tcPr>
            <w:tcW w:w="1426" w:type="pct"/>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條文</w:t>
            </w:r>
          </w:p>
        </w:tc>
        <w:tc>
          <w:tcPr>
            <w:tcW w:w="1403" w:type="pct"/>
            <w:noWrap/>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認定基準</w:t>
            </w:r>
          </w:p>
        </w:tc>
        <w:tc>
          <w:tcPr>
            <w:tcW w:w="1353" w:type="pct"/>
            <w:noWrap/>
            <w:vAlign w:val="center"/>
          </w:tcPr>
          <w:p w:rsidR="00E53B6A" w:rsidRPr="005D1BE0" w:rsidRDefault="00E53B6A" w:rsidP="000A5727">
            <w:pPr>
              <w:spacing w:line="240" w:lineRule="atLeast"/>
              <w:jc w:val="center"/>
              <w:rPr>
                <w:rFonts w:ascii="Times New Roman" w:eastAsia="標楷體" w:hAnsi="Times New Roman"/>
                <w:szCs w:val="24"/>
              </w:rPr>
            </w:pPr>
            <w:r w:rsidRPr="005D1BE0">
              <w:rPr>
                <w:rFonts w:ascii="Times New Roman" w:eastAsia="標楷體" w:hAnsi="Times New Roman"/>
                <w:szCs w:val="24"/>
              </w:rPr>
              <w:t>受評醫院選擇</w:t>
            </w:r>
          </w:p>
        </w:tc>
      </w:tr>
      <w:tr w:rsidR="00E53B6A" w:rsidRPr="005D1BE0" w:rsidTr="000A5727">
        <w:trPr>
          <w:trHeight w:val="850"/>
        </w:trPr>
        <w:tc>
          <w:tcPr>
            <w:tcW w:w="151" w:type="pct"/>
            <w:vAlign w:val="center"/>
          </w:tcPr>
          <w:p w:rsidR="00E53B6A" w:rsidRPr="005D1BE0" w:rsidRDefault="00E53B6A" w:rsidP="000A5727">
            <w:pPr>
              <w:snapToGrid w:val="0"/>
              <w:jc w:val="center"/>
              <w:rPr>
                <w:rFonts w:ascii="Times New Roman" w:eastAsia="標楷體" w:hAnsi="Times New Roman"/>
                <w:color w:val="000000"/>
                <w:szCs w:val="24"/>
              </w:rPr>
            </w:pPr>
            <w:r>
              <w:rPr>
                <w:rFonts w:ascii="Times New Roman" w:eastAsia="標楷體" w:hAnsi="Times New Roman" w:hint="eastAsia"/>
                <w:color w:val="000000"/>
                <w:szCs w:val="24"/>
              </w:rPr>
              <w:t>18</w:t>
            </w:r>
          </w:p>
        </w:tc>
        <w:tc>
          <w:tcPr>
            <w:tcW w:w="188" w:type="pct"/>
            <w:vAlign w:val="center"/>
          </w:tcPr>
          <w:p w:rsidR="00E53B6A" w:rsidRPr="005D1BE0" w:rsidRDefault="00E53B6A" w:rsidP="000A5727">
            <w:pPr>
              <w:widowControl/>
              <w:snapToGrid w:val="0"/>
              <w:jc w:val="center"/>
              <w:rPr>
                <w:rFonts w:ascii="Times New Roman" w:eastAsia="標楷體" w:hAnsi="Times New Roman"/>
                <w:color w:val="000000"/>
                <w:kern w:val="0"/>
                <w:szCs w:val="24"/>
              </w:rPr>
            </w:pPr>
            <w:r w:rsidRPr="005D1BE0">
              <w:rPr>
                <w:rFonts w:ascii="Times New Roman" w:eastAsia="標楷體" w:hAnsi="Times New Roman"/>
                <w:color w:val="000000"/>
                <w:kern w:val="0"/>
                <w:szCs w:val="24"/>
              </w:rPr>
              <w:t>2</w:t>
            </w:r>
          </w:p>
        </w:tc>
        <w:tc>
          <w:tcPr>
            <w:tcW w:w="239" w:type="pct"/>
            <w:vAlign w:val="center"/>
          </w:tcPr>
          <w:p w:rsidR="00E53B6A" w:rsidRPr="005D1BE0" w:rsidRDefault="00E53B6A" w:rsidP="000A5727">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40" w:type="pct"/>
            <w:vAlign w:val="center"/>
          </w:tcPr>
          <w:p w:rsidR="00E53B6A" w:rsidRPr="005D1BE0" w:rsidRDefault="00E53B6A" w:rsidP="000A5727">
            <w:pPr>
              <w:rPr>
                <w:rFonts w:ascii="Times New Roman" w:hAnsi="Times New Roman"/>
                <w:color w:val="000000"/>
              </w:rPr>
            </w:pPr>
            <w:r w:rsidRPr="005D1BE0">
              <w:rPr>
                <w:rFonts w:ascii="Times New Roman" w:hAnsi="Times New Roman"/>
                <w:color w:val="000000"/>
              </w:rPr>
              <w:t>1.2.6</w:t>
            </w:r>
          </w:p>
        </w:tc>
        <w:tc>
          <w:tcPr>
            <w:tcW w:w="1426" w:type="pct"/>
            <w:vAlign w:val="center"/>
          </w:tcPr>
          <w:p w:rsidR="00E53B6A" w:rsidRPr="005D1BE0" w:rsidRDefault="00E53B6A" w:rsidP="000A5727">
            <w:pPr>
              <w:jc w:val="both"/>
              <w:rPr>
                <w:rFonts w:ascii="Times New Roman" w:eastAsia="標楷體" w:hAnsi="Times New Roman"/>
                <w:color w:val="000000"/>
              </w:rPr>
            </w:pPr>
            <w:r w:rsidRPr="005D1BE0">
              <w:rPr>
                <w:rFonts w:ascii="Times New Roman" w:eastAsia="標楷體" w:hAnsi="Times New Roman"/>
                <w:color w:val="000000"/>
              </w:rPr>
              <w:t>對外包業務及人員有適當管理機制</w:t>
            </w:r>
          </w:p>
        </w:tc>
        <w:tc>
          <w:tcPr>
            <w:tcW w:w="1403" w:type="pct"/>
            <w:noWrap/>
            <w:vAlign w:val="center"/>
          </w:tcPr>
          <w:p w:rsidR="00E53B6A" w:rsidRPr="005D1BE0" w:rsidRDefault="00E53B6A" w:rsidP="000A5727">
            <w:pPr>
              <w:rPr>
                <w:rFonts w:ascii="Times New Roman" w:hAnsi="Times New Roman"/>
                <w:color w:val="000000"/>
              </w:rPr>
            </w:pPr>
            <w:r w:rsidRPr="005D1BE0">
              <w:rPr>
                <w:rFonts w:ascii="Times New Roman" w:eastAsia="標楷體" w:hAnsi="Times New Roman"/>
                <w:color w:val="000000"/>
              </w:rPr>
              <w:t>未有業務外包者，可自選本條免評。</w:t>
            </w:r>
          </w:p>
        </w:tc>
        <w:tc>
          <w:tcPr>
            <w:tcW w:w="1353" w:type="pct"/>
            <w:noWrap/>
          </w:tcPr>
          <w:p w:rsidR="00E53B6A" w:rsidRPr="005D1BE0" w:rsidRDefault="00E53B6A" w:rsidP="000A5727">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0A5727">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0A5727">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19</w:t>
            </w:r>
          </w:p>
        </w:tc>
        <w:tc>
          <w:tcPr>
            <w:tcW w:w="188" w:type="pct"/>
            <w:vAlign w:val="center"/>
          </w:tcPr>
          <w:p w:rsidR="00E53B6A" w:rsidRPr="005D1BE0" w:rsidRDefault="00E53B6A" w:rsidP="00E53B6A">
            <w:pPr>
              <w:snapToGrid w:val="0"/>
              <w:jc w:val="center"/>
              <w:rPr>
                <w:rFonts w:ascii="Times New Roman" w:eastAsia="標楷體" w:hAnsi="Times New Roman"/>
                <w:szCs w:val="24"/>
              </w:rPr>
            </w:pPr>
            <w:r w:rsidRPr="005D1BE0">
              <w:rPr>
                <w:rFonts w:ascii="Times New Roman" w:eastAsia="標楷體" w:hAnsi="Times New Roman"/>
                <w:szCs w:val="24"/>
              </w:rPr>
              <w:t>2</w:t>
            </w:r>
          </w:p>
        </w:tc>
        <w:tc>
          <w:tcPr>
            <w:tcW w:w="239" w:type="pct"/>
            <w:vAlign w:val="center"/>
          </w:tcPr>
          <w:p w:rsidR="00E53B6A" w:rsidRPr="005D1BE0" w:rsidRDefault="00E53B6A" w:rsidP="00E53B6A">
            <w:pPr>
              <w:widowControl/>
              <w:jc w:val="both"/>
              <w:rPr>
                <w:rFonts w:ascii="Times New Roman" w:eastAsia="標楷體" w:hAnsi="Times New Roman"/>
                <w:color w:val="000000"/>
                <w:kern w:val="0"/>
                <w:szCs w:val="24"/>
              </w:rPr>
            </w:pPr>
            <w:r w:rsidRPr="005D1BE0">
              <w:rPr>
                <w:rFonts w:ascii="Times New Roman" w:eastAsia="標楷體" w:hAnsi="Times New Roman"/>
                <w:color w:val="000000"/>
              </w:rPr>
              <w:t>重</w:t>
            </w:r>
            <w:r w:rsidRPr="005D1BE0">
              <w:rPr>
                <w:rFonts w:ascii="Times New Roman" w:eastAsia="標楷體" w:hAnsi="Times New Roman"/>
                <w:color w:val="000000"/>
              </w:rPr>
              <w:t>**</w:t>
            </w:r>
          </w:p>
        </w:tc>
        <w:tc>
          <w:tcPr>
            <w:tcW w:w="240" w:type="pct"/>
            <w:vAlign w:val="center"/>
          </w:tcPr>
          <w:p w:rsidR="00E53B6A" w:rsidRPr="005D1BE0" w:rsidRDefault="00E53B6A" w:rsidP="00E53B6A">
            <w:pPr>
              <w:jc w:val="both"/>
              <w:rPr>
                <w:rFonts w:ascii="Times New Roman" w:hAnsi="Times New Roman"/>
                <w:color w:val="000000"/>
              </w:rPr>
            </w:pPr>
            <w:r w:rsidRPr="005D1BE0">
              <w:rPr>
                <w:rFonts w:ascii="Times New Roman" w:hAnsi="Times New Roman"/>
                <w:color w:val="000000"/>
              </w:rPr>
              <w:t>1.2.16</w:t>
            </w:r>
          </w:p>
        </w:tc>
        <w:tc>
          <w:tcPr>
            <w:tcW w:w="1426" w:type="pct"/>
            <w:vAlign w:val="center"/>
          </w:tcPr>
          <w:p w:rsidR="00E53B6A" w:rsidRPr="005D1BE0" w:rsidRDefault="00E53B6A" w:rsidP="00E53B6A">
            <w:pPr>
              <w:jc w:val="both"/>
              <w:rPr>
                <w:rFonts w:ascii="Times New Roman" w:eastAsia="標楷體" w:hAnsi="Times New Roman"/>
                <w:color w:val="000000"/>
              </w:rPr>
            </w:pPr>
            <w:r w:rsidRPr="005D1BE0">
              <w:rPr>
                <w:rFonts w:ascii="Times New Roman" w:eastAsia="標楷體" w:hAnsi="Times New Roman"/>
                <w:color w:val="000000"/>
              </w:rPr>
              <w:t>適當之職能治療服務、臨床心理及社工人力配置</w:t>
            </w:r>
          </w:p>
        </w:tc>
        <w:tc>
          <w:tcPr>
            <w:tcW w:w="1403" w:type="pct"/>
            <w:noWrap/>
            <w:vAlign w:val="center"/>
          </w:tcPr>
          <w:p w:rsidR="00E53B6A" w:rsidRPr="005D1BE0" w:rsidRDefault="00E53B6A" w:rsidP="00E53B6A">
            <w:pPr>
              <w:rPr>
                <w:rFonts w:ascii="Times New Roman" w:hAnsi="Times New Roman"/>
                <w:color w:val="000000"/>
              </w:rPr>
            </w:pPr>
            <w:r w:rsidRPr="005D1BE0">
              <w:rPr>
                <w:rFonts w:ascii="Times New Roman" w:eastAsia="標楷體" w:hAnsi="Times New Roman"/>
                <w:color w:val="000000"/>
              </w:rPr>
              <w:t>若為精神科教學醫院，本條得免評</w:t>
            </w:r>
            <w:r w:rsidR="0063666D">
              <w:rPr>
                <w:rFonts w:ascii="Times New Roman" w:eastAsia="標楷體" w:hAnsi="Times New Roman" w:hint="eastAsia"/>
                <w:color w:val="000000"/>
              </w:rPr>
              <w:t>。</w:t>
            </w:r>
          </w:p>
        </w:tc>
        <w:tc>
          <w:tcPr>
            <w:tcW w:w="1353"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20</w:t>
            </w:r>
          </w:p>
        </w:tc>
        <w:tc>
          <w:tcPr>
            <w:tcW w:w="188" w:type="pct"/>
            <w:vAlign w:val="center"/>
          </w:tcPr>
          <w:p w:rsidR="00E53B6A" w:rsidRPr="005D1BE0" w:rsidRDefault="00E53B6A" w:rsidP="00E53B6A">
            <w:pPr>
              <w:snapToGrid w:val="0"/>
              <w:jc w:val="center"/>
              <w:rPr>
                <w:rFonts w:ascii="Times New Roman" w:eastAsia="標楷體" w:hAnsi="Times New Roman"/>
                <w:szCs w:val="24"/>
              </w:rPr>
            </w:pPr>
            <w:r w:rsidRPr="005D1BE0">
              <w:rPr>
                <w:rFonts w:ascii="Times New Roman" w:eastAsia="標楷體" w:hAnsi="Times New Roman"/>
                <w:szCs w:val="24"/>
              </w:rPr>
              <w:t>2</w:t>
            </w:r>
          </w:p>
        </w:tc>
        <w:tc>
          <w:tcPr>
            <w:tcW w:w="239" w:type="pct"/>
            <w:vAlign w:val="center"/>
          </w:tcPr>
          <w:p w:rsidR="00E53B6A" w:rsidRPr="005D1BE0" w:rsidRDefault="00E53B6A" w:rsidP="00E53B6A">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40"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1.3.4</w:t>
            </w:r>
          </w:p>
        </w:tc>
        <w:tc>
          <w:tcPr>
            <w:tcW w:w="1426" w:type="pct"/>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醫院有志工之設置，並有明確之管理辦法及教育訓練</w:t>
            </w:r>
          </w:p>
        </w:tc>
        <w:tc>
          <w:tcPr>
            <w:tcW w:w="1403" w:type="pct"/>
            <w:noWrap/>
            <w:vAlign w:val="center"/>
          </w:tcPr>
          <w:p w:rsidR="00E53B6A" w:rsidRPr="005D1BE0" w:rsidRDefault="00E53B6A" w:rsidP="00E53B6A">
            <w:pPr>
              <w:rPr>
                <w:rFonts w:ascii="Times New Roman" w:hAnsi="Times New Roman"/>
                <w:color w:val="000000"/>
              </w:rPr>
            </w:pPr>
            <w:r w:rsidRPr="005D1BE0">
              <w:rPr>
                <w:rFonts w:ascii="Times New Roman" w:eastAsia="標楷體" w:hAnsi="Times New Roman"/>
                <w:color w:val="000000"/>
              </w:rPr>
              <w:t>未向社會局或衛生局申請設置有志工者，可自選本條免評</w:t>
            </w:r>
            <w:r w:rsidR="0063666D">
              <w:rPr>
                <w:rFonts w:ascii="Times New Roman" w:eastAsia="標楷體" w:hAnsi="Times New Roman" w:hint="eastAsia"/>
                <w:color w:val="000000"/>
              </w:rPr>
              <w:t>。</w:t>
            </w:r>
          </w:p>
        </w:tc>
        <w:tc>
          <w:tcPr>
            <w:tcW w:w="1353"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widowControl/>
              <w:snapToGrid w:val="0"/>
              <w:jc w:val="both"/>
              <w:rPr>
                <w:rFonts w:ascii="Times New Roman" w:eastAsia="標楷體" w:hAnsi="Times New Roman"/>
                <w:color w:val="000000"/>
                <w:kern w:val="0"/>
                <w:szCs w:val="24"/>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21</w:t>
            </w:r>
          </w:p>
        </w:tc>
        <w:tc>
          <w:tcPr>
            <w:tcW w:w="188" w:type="pct"/>
            <w:vAlign w:val="center"/>
          </w:tcPr>
          <w:p w:rsidR="00E53B6A" w:rsidRPr="005D1BE0" w:rsidRDefault="00E53B6A" w:rsidP="00E53B6A">
            <w:pPr>
              <w:snapToGrid w:val="0"/>
              <w:jc w:val="center"/>
              <w:rPr>
                <w:rFonts w:ascii="Times New Roman" w:eastAsia="標楷體" w:hAnsi="Times New Roman"/>
                <w:szCs w:val="24"/>
              </w:rPr>
            </w:pPr>
            <w:r w:rsidRPr="005D1BE0">
              <w:rPr>
                <w:rFonts w:ascii="Times New Roman" w:eastAsia="標楷體" w:hAnsi="Times New Roman"/>
                <w:szCs w:val="24"/>
              </w:rPr>
              <w:t>2</w:t>
            </w:r>
          </w:p>
        </w:tc>
        <w:tc>
          <w:tcPr>
            <w:tcW w:w="239" w:type="pct"/>
            <w:vAlign w:val="center"/>
          </w:tcPr>
          <w:p w:rsidR="00E53B6A" w:rsidRPr="005D1BE0" w:rsidRDefault="00E53B6A" w:rsidP="00E53B6A">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40"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2.3.14</w:t>
            </w:r>
          </w:p>
        </w:tc>
        <w:tc>
          <w:tcPr>
            <w:tcW w:w="1426" w:type="pct"/>
            <w:vAlign w:val="center"/>
          </w:tcPr>
          <w:p w:rsidR="00E53B6A" w:rsidRPr="005D1BE0" w:rsidRDefault="00E53B6A" w:rsidP="00E53B6A">
            <w:pPr>
              <w:jc w:val="both"/>
              <w:rPr>
                <w:rFonts w:ascii="Times New Roman" w:eastAsia="標楷體" w:hAnsi="Times New Roman"/>
                <w:color w:val="000000"/>
              </w:rPr>
            </w:pPr>
            <w:r w:rsidRPr="005D1BE0">
              <w:rPr>
                <w:rFonts w:ascii="Times New Roman" w:eastAsia="標楷體" w:hAnsi="Times New Roman"/>
                <w:color w:val="000000"/>
              </w:rPr>
              <w:t>適當執行居家治療服務，並有評估、檢討，以利品質提升</w:t>
            </w:r>
          </w:p>
        </w:tc>
        <w:tc>
          <w:tcPr>
            <w:tcW w:w="1403" w:type="pct"/>
            <w:noWrap/>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未向衛生福利部中央健康保險署申報居家治療給付醫院可自選本條免評</w:t>
            </w:r>
            <w:r w:rsidR="0063666D">
              <w:rPr>
                <w:rFonts w:ascii="Times New Roman" w:eastAsia="標楷體" w:hAnsi="Times New Roman" w:hint="eastAsia"/>
                <w:color w:val="000000"/>
              </w:rPr>
              <w:t>。</w:t>
            </w:r>
          </w:p>
        </w:tc>
        <w:tc>
          <w:tcPr>
            <w:tcW w:w="1353"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22</w:t>
            </w:r>
          </w:p>
        </w:tc>
        <w:tc>
          <w:tcPr>
            <w:tcW w:w="188"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w:t>
            </w:r>
          </w:p>
        </w:tc>
        <w:tc>
          <w:tcPr>
            <w:tcW w:w="239" w:type="pct"/>
            <w:vAlign w:val="center"/>
          </w:tcPr>
          <w:p w:rsidR="00E53B6A" w:rsidRPr="005D1BE0" w:rsidRDefault="00E53B6A" w:rsidP="00E53B6A">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40"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2.4.19</w:t>
            </w:r>
          </w:p>
        </w:tc>
        <w:tc>
          <w:tcPr>
            <w:tcW w:w="1426" w:type="pct"/>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建立透析照護服務設施、設備、儀器管理機制，確實執行</w:t>
            </w:r>
          </w:p>
        </w:tc>
        <w:tc>
          <w:tcPr>
            <w:tcW w:w="1403" w:type="pct"/>
            <w:noWrap/>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符合下列全部條件者，可自選本條免評：</w:t>
            </w:r>
          </w:p>
          <w:p w:rsidR="00E53B6A" w:rsidRPr="005D1BE0" w:rsidRDefault="00E53B6A" w:rsidP="00E53B6A">
            <w:pPr>
              <w:numPr>
                <w:ilvl w:val="0"/>
                <w:numId w:val="12"/>
              </w:numPr>
              <w:ind w:left="606" w:hanging="347"/>
              <w:rPr>
                <w:rFonts w:ascii="Times New Roman" w:eastAsia="標楷體" w:hAnsi="Times New Roman"/>
                <w:color w:val="000000"/>
              </w:rPr>
            </w:pPr>
            <w:r w:rsidRPr="005D1BE0">
              <w:rPr>
                <w:rFonts w:ascii="Times New Roman" w:eastAsia="標楷體" w:hAnsi="Times New Roman"/>
                <w:color w:val="000000"/>
              </w:rPr>
              <w:t>未登記設有血液透析床及腹膜透析床。</w:t>
            </w:r>
          </w:p>
          <w:p w:rsidR="00E53B6A" w:rsidRPr="005D1BE0" w:rsidRDefault="00E53B6A" w:rsidP="00E53B6A">
            <w:pPr>
              <w:numPr>
                <w:ilvl w:val="0"/>
                <w:numId w:val="12"/>
              </w:numPr>
              <w:ind w:left="606" w:hanging="347"/>
              <w:rPr>
                <w:rFonts w:ascii="Times New Roman" w:hAnsi="Times New Roman"/>
                <w:color w:val="000000"/>
              </w:rPr>
            </w:pPr>
            <w:r w:rsidRPr="005D1BE0">
              <w:rPr>
                <w:rFonts w:ascii="Times New Roman" w:eastAsia="標楷體" w:hAnsi="Times New Roman"/>
                <w:color w:val="000000"/>
              </w:rPr>
              <w:t>未提供透析照護服務（腹膜透析或血液透析）。</w:t>
            </w:r>
          </w:p>
        </w:tc>
        <w:tc>
          <w:tcPr>
            <w:tcW w:w="1353"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23</w:t>
            </w:r>
          </w:p>
        </w:tc>
        <w:tc>
          <w:tcPr>
            <w:tcW w:w="188"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w:t>
            </w:r>
          </w:p>
        </w:tc>
        <w:tc>
          <w:tcPr>
            <w:tcW w:w="239" w:type="pct"/>
            <w:vAlign w:val="center"/>
          </w:tcPr>
          <w:p w:rsidR="00E53B6A" w:rsidRPr="005D1BE0" w:rsidRDefault="00E53B6A" w:rsidP="00E53B6A">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40"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2.4.20</w:t>
            </w:r>
          </w:p>
        </w:tc>
        <w:tc>
          <w:tcPr>
            <w:tcW w:w="1426" w:type="pct"/>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透析照護服務之醫療照護品質適當</w:t>
            </w:r>
          </w:p>
        </w:tc>
        <w:tc>
          <w:tcPr>
            <w:tcW w:w="1403" w:type="pct"/>
            <w:noWrap/>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符合下列全部條件者，可自選本條免評：</w:t>
            </w:r>
          </w:p>
          <w:p w:rsidR="00E53B6A" w:rsidRPr="005D1BE0" w:rsidRDefault="00E53B6A" w:rsidP="00E53B6A">
            <w:pPr>
              <w:numPr>
                <w:ilvl w:val="0"/>
                <w:numId w:val="13"/>
              </w:numPr>
              <w:ind w:left="606" w:hanging="347"/>
              <w:rPr>
                <w:rFonts w:ascii="Times New Roman" w:eastAsia="標楷體" w:hAnsi="Times New Roman"/>
                <w:color w:val="000000"/>
              </w:rPr>
            </w:pPr>
            <w:r w:rsidRPr="005D1BE0">
              <w:rPr>
                <w:rFonts w:ascii="Times New Roman" w:eastAsia="標楷體" w:hAnsi="Times New Roman"/>
                <w:color w:val="000000"/>
              </w:rPr>
              <w:t>未登記設有血液透析床及腹膜透析床。</w:t>
            </w:r>
          </w:p>
          <w:p w:rsidR="00E53B6A" w:rsidRPr="005D1BE0" w:rsidRDefault="00E53B6A" w:rsidP="00E53B6A">
            <w:pPr>
              <w:numPr>
                <w:ilvl w:val="0"/>
                <w:numId w:val="13"/>
              </w:numPr>
              <w:ind w:left="606" w:hanging="347"/>
              <w:rPr>
                <w:rFonts w:ascii="Times New Roman" w:hAnsi="Times New Roman"/>
                <w:color w:val="000000"/>
              </w:rPr>
            </w:pPr>
            <w:r w:rsidRPr="005D1BE0">
              <w:rPr>
                <w:rFonts w:ascii="Times New Roman" w:eastAsia="標楷體" w:hAnsi="Times New Roman"/>
                <w:color w:val="000000"/>
              </w:rPr>
              <w:t>未提供透析照護服務（腹膜透析或血液透析）。</w:t>
            </w:r>
          </w:p>
        </w:tc>
        <w:tc>
          <w:tcPr>
            <w:tcW w:w="1353"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24</w:t>
            </w:r>
          </w:p>
        </w:tc>
        <w:tc>
          <w:tcPr>
            <w:tcW w:w="188"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w:t>
            </w:r>
          </w:p>
        </w:tc>
        <w:tc>
          <w:tcPr>
            <w:tcW w:w="239" w:type="pct"/>
            <w:vAlign w:val="center"/>
          </w:tcPr>
          <w:p w:rsidR="00E53B6A" w:rsidRPr="005D1BE0" w:rsidRDefault="00E53B6A" w:rsidP="00E53B6A">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40"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2.4.21</w:t>
            </w:r>
          </w:p>
        </w:tc>
        <w:tc>
          <w:tcPr>
            <w:tcW w:w="1426" w:type="pct"/>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慢性呼吸照護病房</w:t>
            </w:r>
            <w:r w:rsidRPr="005D1BE0">
              <w:rPr>
                <w:rFonts w:ascii="Times New Roman" w:eastAsia="標楷體" w:hAnsi="Times New Roman"/>
                <w:color w:val="000000"/>
              </w:rPr>
              <w:t>(RCW)</w:t>
            </w:r>
            <w:r w:rsidRPr="005D1BE0">
              <w:rPr>
                <w:rFonts w:ascii="Times New Roman" w:eastAsia="標楷體" w:hAnsi="Times New Roman"/>
                <w:color w:val="000000"/>
              </w:rPr>
              <w:t>之醫療照護品質適當</w:t>
            </w:r>
          </w:p>
        </w:tc>
        <w:tc>
          <w:tcPr>
            <w:tcW w:w="1403" w:type="pct"/>
            <w:noWrap/>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符合以下全部條件者，可自選本條免評：</w:t>
            </w:r>
          </w:p>
          <w:p w:rsidR="00E53B6A" w:rsidRPr="005D1BE0" w:rsidRDefault="00E53B6A" w:rsidP="00E53B6A">
            <w:pPr>
              <w:numPr>
                <w:ilvl w:val="0"/>
                <w:numId w:val="14"/>
              </w:numPr>
              <w:ind w:left="606" w:hanging="347"/>
              <w:rPr>
                <w:rFonts w:ascii="Times New Roman" w:eastAsia="標楷體" w:hAnsi="Times New Roman"/>
                <w:color w:val="000000"/>
              </w:rPr>
            </w:pPr>
            <w:r w:rsidRPr="005D1BE0">
              <w:rPr>
                <w:rFonts w:ascii="Times New Roman" w:eastAsia="標楷體" w:hAnsi="Times New Roman"/>
                <w:color w:val="000000"/>
              </w:rPr>
              <w:t>未登記設有慢性呼吸照護病房</w:t>
            </w:r>
            <w:r w:rsidRPr="005D1BE0">
              <w:rPr>
                <w:rFonts w:ascii="Times New Roman" w:eastAsia="標楷體" w:hAnsi="Times New Roman"/>
                <w:color w:val="000000"/>
              </w:rPr>
              <w:t>(RCW)</w:t>
            </w:r>
            <w:r w:rsidRPr="005D1BE0">
              <w:rPr>
                <w:rFonts w:ascii="Times New Roman" w:eastAsia="標楷體" w:hAnsi="Times New Roman"/>
                <w:color w:val="000000"/>
              </w:rPr>
              <w:t>。</w:t>
            </w:r>
          </w:p>
          <w:p w:rsidR="00E53B6A" w:rsidRPr="005D1BE0" w:rsidRDefault="00E53B6A" w:rsidP="00E53B6A">
            <w:pPr>
              <w:numPr>
                <w:ilvl w:val="0"/>
                <w:numId w:val="14"/>
              </w:numPr>
              <w:ind w:left="606" w:hanging="347"/>
              <w:rPr>
                <w:rFonts w:ascii="Times New Roman" w:hAnsi="Times New Roman"/>
                <w:color w:val="000000"/>
              </w:rPr>
            </w:pPr>
            <w:r w:rsidRPr="005D1BE0">
              <w:rPr>
                <w:rFonts w:ascii="Times New Roman" w:eastAsia="標楷體" w:hAnsi="Times New Roman"/>
                <w:color w:val="000000"/>
              </w:rPr>
              <w:lastRenderedPageBreak/>
              <w:t>於急性病房未收治使用呼吸器超過</w:t>
            </w:r>
            <w:r w:rsidRPr="005D1BE0">
              <w:rPr>
                <w:rFonts w:ascii="Times New Roman" w:eastAsia="標楷體" w:hAnsi="Times New Roman"/>
                <w:color w:val="000000"/>
              </w:rPr>
              <w:t>63</w:t>
            </w:r>
            <w:r w:rsidRPr="005D1BE0">
              <w:rPr>
                <w:rFonts w:ascii="Times New Roman" w:eastAsia="標楷體" w:hAnsi="Times New Roman"/>
                <w:color w:val="000000"/>
              </w:rPr>
              <w:t>天之病人；或於急性病房有收治使用呼吸器超過</w:t>
            </w:r>
            <w:r w:rsidRPr="005D1BE0">
              <w:rPr>
                <w:rFonts w:ascii="Times New Roman" w:eastAsia="標楷體" w:hAnsi="Times New Roman"/>
                <w:color w:val="000000"/>
              </w:rPr>
              <w:t>21</w:t>
            </w:r>
            <w:r w:rsidRPr="005D1BE0">
              <w:rPr>
                <w:rFonts w:ascii="Times New Roman" w:eastAsia="標楷體" w:hAnsi="Times New Roman"/>
                <w:color w:val="000000"/>
              </w:rPr>
              <w:t>天（</w:t>
            </w:r>
            <w:r w:rsidRPr="005D1BE0">
              <w:rPr>
                <w:rFonts w:ascii="Times New Roman" w:eastAsia="標楷體" w:hAnsi="Times New Roman"/>
                <w:color w:val="000000"/>
              </w:rPr>
              <w:t>63</w:t>
            </w:r>
            <w:r w:rsidRPr="005D1BE0">
              <w:rPr>
                <w:rFonts w:ascii="Times New Roman" w:eastAsia="標楷體" w:hAnsi="Times New Roman"/>
                <w:color w:val="000000"/>
              </w:rPr>
              <w:t>天以下）之病人。</w:t>
            </w:r>
          </w:p>
        </w:tc>
        <w:tc>
          <w:tcPr>
            <w:tcW w:w="1353"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lastRenderedPageBreak/>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25</w:t>
            </w:r>
          </w:p>
        </w:tc>
        <w:tc>
          <w:tcPr>
            <w:tcW w:w="188"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w:t>
            </w:r>
          </w:p>
        </w:tc>
        <w:tc>
          <w:tcPr>
            <w:tcW w:w="239" w:type="pct"/>
            <w:vAlign w:val="center"/>
          </w:tcPr>
          <w:p w:rsidR="00E53B6A" w:rsidRPr="005D1BE0" w:rsidRDefault="00E53B6A" w:rsidP="00E53B6A">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40"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2.7.4</w:t>
            </w:r>
          </w:p>
        </w:tc>
        <w:tc>
          <w:tcPr>
            <w:tcW w:w="1426" w:type="pct"/>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設有合宜之血品供應單位及供輸血作業程序，並能確實執行</w:t>
            </w:r>
          </w:p>
        </w:tc>
        <w:tc>
          <w:tcPr>
            <w:tcW w:w="1403" w:type="pct"/>
            <w:noWrap/>
            <w:vAlign w:val="center"/>
          </w:tcPr>
          <w:p w:rsidR="00E53B6A" w:rsidRPr="005D1BE0" w:rsidRDefault="00E53B6A" w:rsidP="00E53B6A">
            <w:pPr>
              <w:rPr>
                <w:rFonts w:ascii="Times New Roman" w:hAnsi="Times New Roman"/>
                <w:color w:val="000000"/>
              </w:rPr>
            </w:pPr>
            <w:r w:rsidRPr="005D1BE0">
              <w:rPr>
                <w:rFonts w:ascii="Times New Roman" w:eastAsia="標楷體" w:hAnsi="Times New Roman"/>
                <w:color w:val="000000"/>
              </w:rPr>
              <w:t>未設有血品供應單位</w:t>
            </w:r>
            <w:r w:rsidRPr="005D1BE0">
              <w:rPr>
                <w:rFonts w:ascii="Times New Roman" w:hAnsi="Times New Roman"/>
                <w:color w:val="000000"/>
              </w:rPr>
              <w:t>(</w:t>
            </w:r>
            <w:r w:rsidRPr="005D1BE0">
              <w:rPr>
                <w:rFonts w:ascii="Times New Roman" w:eastAsia="標楷體" w:hAnsi="Times New Roman"/>
                <w:color w:val="000000"/>
              </w:rPr>
              <w:t>含血庫</w:t>
            </w:r>
            <w:r w:rsidRPr="005D1BE0">
              <w:rPr>
                <w:rFonts w:ascii="Times New Roman" w:hAnsi="Times New Roman"/>
                <w:color w:val="000000"/>
              </w:rPr>
              <w:t>)</w:t>
            </w:r>
            <w:r w:rsidRPr="005D1BE0">
              <w:rPr>
                <w:rFonts w:ascii="Times New Roman" w:eastAsia="標楷體" w:hAnsi="Times New Roman"/>
                <w:color w:val="000000"/>
              </w:rPr>
              <w:t>且未執行輸血作業者，可自選本條免評</w:t>
            </w:r>
            <w:r w:rsidR="0063666D">
              <w:rPr>
                <w:rFonts w:ascii="Times New Roman" w:eastAsia="標楷體" w:hAnsi="Times New Roman" w:hint="eastAsia"/>
                <w:color w:val="000000"/>
              </w:rPr>
              <w:t>。</w:t>
            </w:r>
          </w:p>
        </w:tc>
        <w:tc>
          <w:tcPr>
            <w:tcW w:w="1353"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r>
      <w:tr w:rsidR="00E53B6A" w:rsidRPr="005D1BE0" w:rsidTr="000A5727">
        <w:trPr>
          <w:trHeight w:val="850"/>
        </w:trPr>
        <w:tc>
          <w:tcPr>
            <w:tcW w:w="151"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26</w:t>
            </w:r>
          </w:p>
        </w:tc>
        <w:tc>
          <w:tcPr>
            <w:tcW w:w="188" w:type="pct"/>
            <w:vAlign w:val="center"/>
          </w:tcPr>
          <w:p w:rsidR="00E53B6A" w:rsidRPr="005D1BE0" w:rsidRDefault="00E53B6A" w:rsidP="00E53B6A">
            <w:pPr>
              <w:snapToGrid w:val="0"/>
              <w:jc w:val="center"/>
              <w:rPr>
                <w:rFonts w:ascii="Times New Roman" w:eastAsia="標楷體" w:hAnsi="Times New Roman"/>
                <w:color w:val="000000"/>
                <w:szCs w:val="24"/>
              </w:rPr>
            </w:pPr>
            <w:r w:rsidRPr="005D1BE0">
              <w:rPr>
                <w:rFonts w:ascii="Times New Roman" w:eastAsia="標楷體" w:hAnsi="Times New Roman"/>
                <w:color w:val="000000"/>
                <w:szCs w:val="24"/>
              </w:rPr>
              <w:t>2</w:t>
            </w:r>
          </w:p>
        </w:tc>
        <w:tc>
          <w:tcPr>
            <w:tcW w:w="239" w:type="pct"/>
            <w:vAlign w:val="center"/>
          </w:tcPr>
          <w:p w:rsidR="00E53B6A" w:rsidRPr="005D1BE0" w:rsidRDefault="00E53B6A" w:rsidP="00E53B6A">
            <w:pPr>
              <w:widowControl/>
              <w:rPr>
                <w:rFonts w:ascii="Times New Roman" w:eastAsia="標楷體" w:hAnsi="Times New Roman"/>
                <w:color w:val="000000"/>
                <w:kern w:val="0"/>
                <w:szCs w:val="24"/>
              </w:rPr>
            </w:pPr>
            <w:r w:rsidRPr="005D1BE0">
              <w:rPr>
                <w:rFonts w:ascii="Times New Roman" w:eastAsia="標楷體" w:hAnsi="Times New Roman"/>
                <w:color w:val="000000"/>
              </w:rPr>
              <w:t>可</w:t>
            </w:r>
          </w:p>
        </w:tc>
        <w:tc>
          <w:tcPr>
            <w:tcW w:w="240" w:type="pct"/>
            <w:vAlign w:val="center"/>
          </w:tcPr>
          <w:p w:rsidR="00E53B6A" w:rsidRPr="005D1BE0" w:rsidRDefault="00E53B6A" w:rsidP="00E53B6A">
            <w:pPr>
              <w:rPr>
                <w:rFonts w:ascii="Times New Roman" w:hAnsi="Times New Roman"/>
                <w:color w:val="000000"/>
              </w:rPr>
            </w:pPr>
            <w:r w:rsidRPr="005D1BE0">
              <w:rPr>
                <w:rFonts w:ascii="Times New Roman" w:hAnsi="Times New Roman"/>
                <w:color w:val="000000"/>
              </w:rPr>
              <w:t>2.7.5</w:t>
            </w:r>
          </w:p>
        </w:tc>
        <w:tc>
          <w:tcPr>
            <w:tcW w:w="1426" w:type="pct"/>
            <w:vAlign w:val="center"/>
          </w:tcPr>
          <w:p w:rsidR="00E53B6A" w:rsidRPr="005D1BE0" w:rsidRDefault="00E53B6A" w:rsidP="00E53B6A">
            <w:pPr>
              <w:rPr>
                <w:rFonts w:ascii="Times New Roman" w:eastAsia="標楷體" w:hAnsi="Times New Roman"/>
                <w:color w:val="000000"/>
              </w:rPr>
            </w:pPr>
            <w:r w:rsidRPr="005D1BE0">
              <w:rPr>
                <w:rFonts w:ascii="Times New Roman" w:eastAsia="標楷體" w:hAnsi="Times New Roman"/>
                <w:color w:val="000000"/>
              </w:rPr>
              <w:t>血品供應作業具有品質保證措施</w:t>
            </w:r>
          </w:p>
        </w:tc>
        <w:tc>
          <w:tcPr>
            <w:tcW w:w="1403" w:type="pct"/>
            <w:noWrap/>
            <w:vAlign w:val="center"/>
          </w:tcPr>
          <w:p w:rsidR="00E53B6A" w:rsidRPr="005D1BE0" w:rsidRDefault="00E53B6A" w:rsidP="00E53B6A">
            <w:pPr>
              <w:rPr>
                <w:rFonts w:ascii="Times New Roman" w:hAnsi="Times New Roman"/>
                <w:color w:val="000000"/>
              </w:rPr>
            </w:pPr>
            <w:r w:rsidRPr="005D1BE0">
              <w:rPr>
                <w:rFonts w:ascii="Times New Roman" w:eastAsia="標楷體" w:hAnsi="Times New Roman"/>
                <w:color w:val="000000"/>
              </w:rPr>
              <w:t>未設有血品供應單位</w:t>
            </w:r>
            <w:r w:rsidRPr="005D1BE0">
              <w:rPr>
                <w:rFonts w:ascii="Times New Roman" w:hAnsi="Times New Roman"/>
                <w:color w:val="000000"/>
              </w:rPr>
              <w:t>(</w:t>
            </w:r>
            <w:r w:rsidRPr="005D1BE0">
              <w:rPr>
                <w:rFonts w:ascii="Times New Roman" w:eastAsia="標楷體" w:hAnsi="Times New Roman"/>
                <w:color w:val="000000"/>
              </w:rPr>
              <w:t>含血庫</w:t>
            </w:r>
            <w:r w:rsidRPr="005D1BE0">
              <w:rPr>
                <w:rFonts w:ascii="Times New Roman" w:hAnsi="Times New Roman"/>
                <w:color w:val="000000"/>
              </w:rPr>
              <w:t>)</w:t>
            </w:r>
            <w:r w:rsidRPr="005D1BE0">
              <w:rPr>
                <w:rFonts w:ascii="Times New Roman" w:eastAsia="標楷體" w:hAnsi="Times New Roman"/>
                <w:color w:val="000000"/>
              </w:rPr>
              <w:t>且未執行輸血作業者，可自選本條免評</w:t>
            </w:r>
            <w:r w:rsidR="0063666D">
              <w:rPr>
                <w:rFonts w:ascii="Times New Roman" w:eastAsia="標楷體" w:hAnsi="Times New Roman" w:hint="eastAsia"/>
                <w:color w:val="000000"/>
              </w:rPr>
              <w:t>。</w:t>
            </w:r>
          </w:p>
        </w:tc>
        <w:tc>
          <w:tcPr>
            <w:tcW w:w="1353" w:type="pct"/>
            <w:noWrap/>
          </w:tcPr>
          <w:p w:rsidR="00E53B6A" w:rsidRPr="005D1BE0" w:rsidRDefault="00E53B6A" w:rsidP="00E53B6A">
            <w:pPr>
              <w:spacing w:line="240" w:lineRule="atLeast"/>
              <w:jc w:val="both"/>
              <w:rPr>
                <w:rFonts w:ascii="Times New Roman" w:eastAsia="標楷體" w:hAnsi="Times New Roman"/>
              </w:rPr>
            </w:pPr>
            <w:r w:rsidRPr="005D1BE0">
              <w:rPr>
                <w:rFonts w:ascii="Times New Roman" w:eastAsia="標楷體" w:hAnsi="Times New Roman"/>
              </w:rPr>
              <w:t>依左列認定基準，貴院認為本項為：</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得</w:t>
            </w:r>
            <w:r w:rsidRPr="005D1BE0">
              <w:rPr>
                <w:rFonts w:ascii="Times New Roman" w:eastAsia="標楷體" w:hAnsi="Times New Roman"/>
              </w:rPr>
              <w:t>NA</w:t>
            </w:r>
            <w:r w:rsidRPr="005D1BE0">
              <w:rPr>
                <w:rFonts w:ascii="Times New Roman" w:eastAsia="標楷體" w:hAnsi="Times New Roman"/>
              </w:rPr>
              <w:t>（得免評）</w:t>
            </w:r>
          </w:p>
          <w:p w:rsidR="00E53B6A" w:rsidRPr="005D1BE0" w:rsidRDefault="00E53B6A" w:rsidP="00E53B6A">
            <w:pPr>
              <w:spacing w:line="240" w:lineRule="atLeast"/>
              <w:jc w:val="both"/>
              <w:rPr>
                <w:rFonts w:ascii="Times New Roman" w:eastAsia="標楷體" w:hAnsi="Times New Roman"/>
              </w:rPr>
            </w:pPr>
            <w:r>
              <w:rPr>
                <w:rFonts w:ascii="標楷體" w:eastAsia="標楷體" w:hAnsi="標楷體"/>
              </w:rPr>
              <w:t>○</w:t>
            </w:r>
            <w:r w:rsidRPr="005D1BE0">
              <w:rPr>
                <w:rFonts w:ascii="Times New Roman" w:eastAsia="標楷體" w:hAnsi="Times New Roman"/>
              </w:rPr>
              <w:t>不得</w:t>
            </w:r>
            <w:r w:rsidRPr="005D1BE0">
              <w:rPr>
                <w:rFonts w:ascii="Times New Roman" w:eastAsia="標楷體" w:hAnsi="Times New Roman"/>
              </w:rPr>
              <w:t>NA</w:t>
            </w:r>
          </w:p>
        </w:tc>
      </w:tr>
    </w:tbl>
    <w:p w:rsidR="005203D6" w:rsidRPr="00E53B6A" w:rsidRDefault="005203D6">
      <w:pPr>
        <w:widowControl/>
        <w:rPr>
          <w:rFonts w:ascii="Times New Roman" w:eastAsia="標楷體" w:hAnsi="Times New Roman"/>
          <w:b/>
          <w:sz w:val="28"/>
          <w:szCs w:val="28"/>
        </w:rPr>
      </w:pPr>
    </w:p>
    <w:sectPr w:rsidR="005203D6" w:rsidRPr="00E53B6A" w:rsidSect="007252B1">
      <w:headerReference w:type="even" r:id="rId8"/>
      <w:headerReference w:type="default" r:id="rId9"/>
      <w:footerReference w:type="even" r:id="rId10"/>
      <w:footerReference w:type="default" r:id="rId11"/>
      <w:headerReference w:type="first" r:id="rId12"/>
      <w:pgSz w:w="16838" w:h="11906" w:orient="landscape" w:code="9"/>
      <w:pgMar w:top="851" w:right="567" w:bottom="624" w:left="1304" w:header="425" w:footer="3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A9" w:rsidRDefault="007148A9" w:rsidP="000E1CE8">
      <w:r>
        <w:separator/>
      </w:r>
    </w:p>
  </w:endnote>
  <w:endnote w:type="continuationSeparator" w:id="0">
    <w:p w:rsidR="007148A9" w:rsidRDefault="007148A9" w:rsidP="000E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25" w:rsidRDefault="00973725" w:rsidP="00AC0EC2">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73725" w:rsidRDefault="00973725" w:rsidP="007252B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25" w:rsidRPr="0063666D" w:rsidRDefault="00973725" w:rsidP="006329E1">
    <w:pPr>
      <w:pStyle w:val="a6"/>
      <w:ind w:right="360"/>
      <w:jc w:val="center"/>
      <w:rPr>
        <w:rFonts w:ascii="Times New Roman" w:hAnsi="Times New Roman"/>
      </w:rPr>
    </w:pPr>
    <w:r w:rsidRPr="0063666D">
      <w:rPr>
        <w:rStyle w:val="ab"/>
        <w:rFonts w:ascii="Times New Roman" w:hAnsi="Times New Roman"/>
      </w:rPr>
      <w:fldChar w:fldCharType="begin"/>
    </w:r>
    <w:r w:rsidRPr="0063666D">
      <w:rPr>
        <w:rStyle w:val="ab"/>
        <w:rFonts w:ascii="Times New Roman" w:hAnsi="Times New Roman"/>
      </w:rPr>
      <w:instrText xml:space="preserve"> PAGE </w:instrText>
    </w:r>
    <w:r w:rsidRPr="0063666D">
      <w:rPr>
        <w:rStyle w:val="ab"/>
        <w:rFonts w:ascii="Times New Roman" w:hAnsi="Times New Roman"/>
      </w:rPr>
      <w:fldChar w:fldCharType="separate"/>
    </w:r>
    <w:r w:rsidR="005051D9">
      <w:rPr>
        <w:rStyle w:val="ab"/>
        <w:rFonts w:ascii="Times New Roman" w:hAnsi="Times New Roman"/>
        <w:noProof/>
      </w:rPr>
      <w:t>- 1 -</w:t>
    </w:r>
    <w:r w:rsidRPr="0063666D">
      <w:rPr>
        <w:rStyle w:val="ab"/>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A9" w:rsidRDefault="007148A9" w:rsidP="000E1CE8">
      <w:r>
        <w:separator/>
      </w:r>
    </w:p>
  </w:footnote>
  <w:footnote w:type="continuationSeparator" w:id="0">
    <w:p w:rsidR="007148A9" w:rsidRDefault="007148A9" w:rsidP="000E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4E" w:rsidRDefault="007148A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927284" o:spid="_x0000_s2050" type="#_x0000_t136" style="position:absolute;margin-left:0;margin-top:0;width:490.2pt;height:245.1pt;rotation:315;z-index:-251658752;mso-position-horizontal:center;mso-position-horizontal-relative:margin;mso-position-vertical:center;mso-position-vertical-relative:margin" o:allowincell="f" fillcolor="silver" stroked="f">
          <v:fill opacity=".5"/>
          <v:textpath style="font-family:&quot;標楷體&quot;;font-size:1pt;v-text-reverse:t" string="範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4E" w:rsidRDefault="007148A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927285" o:spid="_x0000_s2051" type="#_x0000_t136" style="position:absolute;margin-left:0;margin-top:0;width:490.2pt;height:245.1pt;rotation:315;z-index:-251657728;mso-position-horizontal:center;mso-position-horizontal-relative:margin;mso-position-vertical:center;mso-position-vertical-relative:margin" o:allowincell="f" fillcolor="silver" stroked="f">
          <v:fill opacity=".5"/>
          <v:textpath style="font-family:&quot;標楷體&quot;;font-size:1pt;v-text-reverse:t" string="範例"/>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4E" w:rsidRDefault="007148A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927283" o:spid="_x0000_s2049" type="#_x0000_t136" style="position:absolute;margin-left:0;margin-top:0;width:490.2pt;height:245.1pt;rotation:315;z-index:-251659776;mso-position-horizontal:center;mso-position-horizontal-relative:margin;mso-position-vertical:center;mso-position-vertical-relative:margin" o:allowincell="f" fillcolor="silver" stroked="f">
          <v:fill opacity=".5"/>
          <v:textpath style="font-family:&quot;標楷體&quot;;font-size:1pt;v-text-reverse:t" string="範例"/>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F21"/>
    <w:multiLevelType w:val="hybridMultilevel"/>
    <w:tmpl w:val="EE54A056"/>
    <w:lvl w:ilvl="0" w:tplc="A440BAFA">
      <w:start w:val="1"/>
      <w:numFmt w:val="decimal"/>
      <w:suff w:val="space"/>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FE04895"/>
    <w:multiLevelType w:val="hybridMultilevel"/>
    <w:tmpl w:val="EE54A056"/>
    <w:lvl w:ilvl="0" w:tplc="A440BAFA">
      <w:start w:val="1"/>
      <w:numFmt w:val="decimal"/>
      <w:suff w:val="space"/>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967387C"/>
    <w:multiLevelType w:val="hybridMultilevel"/>
    <w:tmpl w:val="0BC02D3A"/>
    <w:lvl w:ilvl="0" w:tplc="11A8C89E">
      <w:start w:val="3"/>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036B36"/>
    <w:multiLevelType w:val="hybridMultilevel"/>
    <w:tmpl w:val="EE54A056"/>
    <w:lvl w:ilvl="0" w:tplc="A440BAFA">
      <w:start w:val="1"/>
      <w:numFmt w:val="decimal"/>
      <w:suff w:val="space"/>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F930B54"/>
    <w:multiLevelType w:val="hybridMultilevel"/>
    <w:tmpl w:val="06F09E8A"/>
    <w:lvl w:ilvl="0" w:tplc="BF7A2A16">
      <w:start w:val="1"/>
      <w:numFmt w:val="decimal"/>
      <w:suff w:val="space"/>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FD02EAE"/>
    <w:multiLevelType w:val="hybridMultilevel"/>
    <w:tmpl w:val="DD4062E6"/>
    <w:lvl w:ilvl="0" w:tplc="77628E7E">
      <w:start w:val="1"/>
      <w:numFmt w:val="decimal"/>
      <w:lvlText w:val="%1."/>
      <w:lvlJc w:val="left"/>
      <w:pPr>
        <w:tabs>
          <w:tab w:val="num" w:pos="284"/>
        </w:tabs>
        <w:ind w:left="284" w:hanging="28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0047D98"/>
    <w:multiLevelType w:val="hybridMultilevel"/>
    <w:tmpl w:val="B5A4EA5C"/>
    <w:lvl w:ilvl="0" w:tplc="A3D840FC">
      <w:start w:val="1"/>
      <w:numFmt w:val="decimal"/>
      <w:lvlText w:val="%1."/>
      <w:lvlJc w:val="left"/>
      <w:pPr>
        <w:tabs>
          <w:tab w:val="num" w:pos="284"/>
        </w:tabs>
        <w:ind w:left="284" w:hanging="284"/>
      </w:pPr>
      <w:rPr>
        <w:rFonts w:cs="Times New Roman" w:hint="eastAsia"/>
      </w:rPr>
    </w:lvl>
    <w:lvl w:ilvl="1" w:tplc="5C2ECE72">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2D6B2D68"/>
    <w:multiLevelType w:val="hybridMultilevel"/>
    <w:tmpl w:val="EE54A056"/>
    <w:lvl w:ilvl="0" w:tplc="A440BAFA">
      <w:start w:val="1"/>
      <w:numFmt w:val="decimal"/>
      <w:suff w:val="space"/>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9176929"/>
    <w:multiLevelType w:val="hybridMultilevel"/>
    <w:tmpl w:val="EE54A056"/>
    <w:lvl w:ilvl="0" w:tplc="A440BAFA">
      <w:start w:val="1"/>
      <w:numFmt w:val="decimal"/>
      <w:suff w:val="space"/>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44303810"/>
    <w:multiLevelType w:val="hybridMultilevel"/>
    <w:tmpl w:val="23F030CA"/>
    <w:lvl w:ilvl="0" w:tplc="66486C66">
      <w:start w:val="1"/>
      <w:numFmt w:val="taiwaneseCountingThousand"/>
      <w:lvlText w:val="%1、"/>
      <w:lvlJc w:val="left"/>
      <w:pPr>
        <w:ind w:left="600" w:hanging="600"/>
      </w:pPr>
      <w:rPr>
        <w:rFonts w:cs="Times New Roman" w:hint="default"/>
        <w:b/>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DA3226E"/>
    <w:multiLevelType w:val="hybridMultilevel"/>
    <w:tmpl w:val="06F09E8A"/>
    <w:lvl w:ilvl="0" w:tplc="BF7A2A16">
      <w:start w:val="1"/>
      <w:numFmt w:val="decimal"/>
      <w:suff w:val="space"/>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B805B8E"/>
    <w:multiLevelType w:val="hybridMultilevel"/>
    <w:tmpl w:val="A6EAD296"/>
    <w:lvl w:ilvl="0" w:tplc="44AC0A1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6FAB35D3"/>
    <w:multiLevelType w:val="hybridMultilevel"/>
    <w:tmpl w:val="0226A93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DEF1ED8"/>
    <w:multiLevelType w:val="hybridMultilevel"/>
    <w:tmpl w:val="EE54A056"/>
    <w:lvl w:ilvl="0" w:tplc="A440BAFA">
      <w:start w:val="1"/>
      <w:numFmt w:val="decimal"/>
      <w:suff w:val="space"/>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E0B2E5E"/>
    <w:multiLevelType w:val="hybridMultilevel"/>
    <w:tmpl w:val="EF0EAC18"/>
    <w:lvl w:ilvl="0" w:tplc="36CCB14A">
      <w:start w:val="1"/>
      <w:numFmt w:val="decimal"/>
      <w:lvlText w:val="%1."/>
      <w:lvlJc w:val="left"/>
      <w:pPr>
        <w:tabs>
          <w:tab w:val="num" w:pos="454"/>
        </w:tabs>
        <w:ind w:left="454" w:hanging="216"/>
      </w:pPr>
      <w:rPr>
        <w:rFonts w:cs="Times New Roman" w:hint="eastAsia"/>
      </w:rPr>
    </w:lvl>
    <w:lvl w:ilvl="1" w:tplc="2D881154">
      <w:start w:val="1"/>
      <w:numFmt w:val="decimal"/>
      <w:lvlText w:val="%2."/>
      <w:lvlJc w:val="left"/>
      <w:pPr>
        <w:tabs>
          <w:tab w:val="num" w:pos="454"/>
        </w:tabs>
        <w:ind w:left="454" w:hanging="216"/>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6"/>
  </w:num>
  <w:num w:numId="3">
    <w:abstractNumId w:val="14"/>
  </w:num>
  <w:num w:numId="4">
    <w:abstractNumId w:val="12"/>
  </w:num>
  <w:num w:numId="5">
    <w:abstractNumId w:val="11"/>
  </w:num>
  <w:num w:numId="6">
    <w:abstractNumId w:val="9"/>
  </w:num>
  <w:num w:numId="7">
    <w:abstractNumId w:val="2"/>
  </w:num>
  <w:num w:numId="8">
    <w:abstractNumId w:val="4"/>
  </w:num>
  <w:num w:numId="9">
    <w:abstractNumId w:val="13"/>
  </w:num>
  <w:num w:numId="10">
    <w:abstractNumId w:val="7"/>
  </w:num>
  <w:num w:numId="11">
    <w:abstractNumId w:val="8"/>
  </w:num>
  <w:num w:numId="12">
    <w:abstractNumId w:val="0"/>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ocumentProtection w:formatting="1" w:enforcement="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D9"/>
    <w:rsid w:val="00001D17"/>
    <w:rsid w:val="00002274"/>
    <w:rsid w:val="00003840"/>
    <w:rsid w:val="00003EF6"/>
    <w:rsid w:val="00024075"/>
    <w:rsid w:val="00054FE1"/>
    <w:rsid w:val="000555C2"/>
    <w:rsid w:val="00055A51"/>
    <w:rsid w:val="000603EE"/>
    <w:rsid w:val="00066C28"/>
    <w:rsid w:val="00086080"/>
    <w:rsid w:val="00091FA4"/>
    <w:rsid w:val="000A23BC"/>
    <w:rsid w:val="000A5727"/>
    <w:rsid w:val="000C771E"/>
    <w:rsid w:val="000E1CE8"/>
    <w:rsid w:val="000F79F0"/>
    <w:rsid w:val="001016D1"/>
    <w:rsid w:val="00121815"/>
    <w:rsid w:val="00121ADF"/>
    <w:rsid w:val="00136E28"/>
    <w:rsid w:val="001374AA"/>
    <w:rsid w:val="0014000F"/>
    <w:rsid w:val="001576DA"/>
    <w:rsid w:val="00177367"/>
    <w:rsid w:val="00197B99"/>
    <w:rsid w:val="001C61D4"/>
    <w:rsid w:val="001D277E"/>
    <w:rsid w:val="001D5E29"/>
    <w:rsid w:val="001D7E85"/>
    <w:rsid w:val="001F5178"/>
    <w:rsid w:val="00204428"/>
    <w:rsid w:val="00205669"/>
    <w:rsid w:val="00207CE9"/>
    <w:rsid w:val="00207DE3"/>
    <w:rsid w:val="00215712"/>
    <w:rsid w:val="00220916"/>
    <w:rsid w:val="00220CB9"/>
    <w:rsid w:val="002363B5"/>
    <w:rsid w:val="00246AA8"/>
    <w:rsid w:val="00246C67"/>
    <w:rsid w:val="00250AFC"/>
    <w:rsid w:val="00254D2F"/>
    <w:rsid w:val="00262CBB"/>
    <w:rsid w:val="00264AC4"/>
    <w:rsid w:val="00275C8A"/>
    <w:rsid w:val="002819E3"/>
    <w:rsid w:val="002844D4"/>
    <w:rsid w:val="00286075"/>
    <w:rsid w:val="002A316F"/>
    <w:rsid w:val="002A3BEE"/>
    <w:rsid w:val="002B14CE"/>
    <w:rsid w:val="002D1388"/>
    <w:rsid w:val="002D56B5"/>
    <w:rsid w:val="002F4340"/>
    <w:rsid w:val="00303B9A"/>
    <w:rsid w:val="00307645"/>
    <w:rsid w:val="003078BB"/>
    <w:rsid w:val="003276D5"/>
    <w:rsid w:val="00333D4C"/>
    <w:rsid w:val="003570B0"/>
    <w:rsid w:val="0035712A"/>
    <w:rsid w:val="0036374C"/>
    <w:rsid w:val="0037719B"/>
    <w:rsid w:val="00385F3A"/>
    <w:rsid w:val="003864C4"/>
    <w:rsid w:val="00396F42"/>
    <w:rsid w:val="003D3C62"/>
    <w:rsid w:val="003F3728"/>
    <w:rsid w:val="003F42B7"/>
    <w:rsid w:val="003F54DC"/>
    <w:rsid w:val="00414036"/>
    <w:rsid w:val="00415CFF"/>
    <w:rsid w:val="004241F0"/>
    <w:rsid w:val="004277BF"/>
    <w:rsid w:val="00434CC9"/>
    <w:rsid w:val="0045144A"/>
    <w:rsid w:val="00465005"/>
    <w:rsid w:val="00472D1E"/>
    <w:rsid w:val="004772D4"/>
    <w:rsid w:val="004A2AC3"/>
    <w:rsid w:val="004A676C"/>
    <w:rsid w:val="004C7B40"/>
    <w:rsid w:val="004E1420"/>
    <w:rsid w:val="004E2B02"/>
    <w:rsid w:val="004F251E"/>
    <w:rsid w:val="004F6EB4"/>
    <w:rsid w:val="005051D9"/>
    <w:rsid w:val="00505F9C"/>
    <w:rsid w:val="00520304"/>
    <w:rsid w:val="005203D6"/>
    <w:rsid w:val="0052146D"/>
    <w:rsid w:val="00530DB5"/>
    <w:rsid w:val="005443E8"/>
    <w:rsid w:val="00575CFE"/>
    <w:rsid w:val="0058243D"/>
    <w:rsid w:val="005A5DCF"/>
    <w:rsid w:val="005B1CD6"/>
    <w:rsid w:val="005B7CAC"/>
    <w:rsid w:val="005C2D1B"/>
    <w:rsid w:val="005D385D"/>
    <w:rsid w:val="005D5CD8"/>
    <w:rsid w:val="005D7C41"/>
    <w:rsid w:val="00607B4D"/>
    <w:rsid w:val="006163D5"/>
    <w:rsid w:val="006329E1"/>
    <w:rsid w:val="00633205"/>
    <w:rsid w:val="0063666D"/>
    <w:rsid w:val="00640EFE"/>
    <w:rsid w:val="006605F4"/>
    <w:rsid w:val="00670051"/>
    <w:rsid w:val="0067423D"/>
    <w:rsid w:val="006823D6"/>
    <w:rsid w:val="00682FE7"/>
    <w:rsid w:val="006876C2"/>
    <w:rsid w:val="006D4985"/>
    <w:rsid w:val="006E0A8D"/>
    <w:rsid w:val="006E55FB"/>
    <w:rsid w:val="007051FF"/>
    <w:rsid w:val="00707E67"/>
    <w:rsid w:val="007113AF"/>
    <w:rsid w:val="007148A9"/>
    <w:rsid w:val="00720EAB"/>
    <w:rsid w:val="007252B1"/>
    <w:rsid w:val="00730CC5"/>
    <w:rsid w:val="0073378C"/>
    <w:rsid w:val="00742501"/>
    <w:rsid w:val="007560E6"/>
    <w:rsid w:val="0076782B"/>
    <w:rsid w:val="00771D10"/>
    <w:rsid w:val="00774BD0"/>
    <w:rsid w:val="0078498A"/>
    <w:rsid w:val="00786558"/>
    <w:rsid w:val="007D5957"/>
    <w:rsid w:val="007D751B"/>
    <w:rsid w:val="007E29C4"/>
    <w:rsid w:val="007E3DA4"/>
    <w:rsid w:val="007E46FF"/>
    <w:rsid w:val="007E5A01"/>
    <w:rsid w:val="007E7137"/>
    <w:rsid w:val="00802D6F"/>
    <w:rsid w:val="008162D8"/>
    <w:rsid w:val="00845AC0"/>
    <w:rsid w:val="008734DB"/>
    <w:rsid w:val="00882F9D"/>
    <w:rsid w:val="00892151"/>
    <w:rsid w:val="008A035C"/>
    <w:rsid w:val="008A4E0C"/>
    <w:rsid w:val="008B5308"/>
    <w:rsid w:val="008B7D8F"/>
    <w:rsid w:val="008C1322"/>
    <w:rsid w:val="008F7A4D"/>
    <w:rsid w:val="009003A8"/>
    <w:rsid w:val="0094683C"/>
    <w:rsid w:val="009660BF"/>
    <w:rsid w:val="00973725"/>
    <w:rsid w:val="00983B97"/>
    <w:rsid w:val="009B724F"/>
    <w:rsid w:val="009C080E"/>
    <w:rsid w:val="009C2A80"/>
    <w:rsid w:val="009C549F"/>
    <w:rsid w:val="009E15EE"/>
    <w:rsid w:val="009F0FAA"/>
    <w:rsid w:val="00A163A6"/>
    <w:rsid w:val="00A20DFA"/>
    <w:rsid w:val="00A329A9"/>
    <w:rsid w:val="00A32C1C"/>
    <w:rsid w:val="00A32EDD"/>
    <w:rsid w:val="00A37094"/>
    <w:rsid w:val="00A4465C"/>
    <w:rsid w:val="00A45BC7"/>
    <w:rsid w:val="00A730FA"/>
    <w:rsid w:val="00A96562"/>
    <w:rsid w:val="00A96661"/>
    <w:rsid w:val="00AA2AAC"/>
    <w:rsid w:val="00AA6207"/>
    <w:rsid w:val="00AB13C2"/>
    <w:rsid w:val="00AC04FE"/>
    <w:rsid w:val="00AC0EC2"/>
    <w:rsid w:val="00AD787D"/>
    <w:rsid w:val="00B07F67"/>
    <w:rsid w:val="00B1741E"/>
    <w:rsid w:val="00B264CC"/>
    <w:rsid w:val="00B40847"/>
    <w:rsid w:val="00B43E4E"/>
    <w:rsid w:val="00B4471A"/>
    <w:rsid w:val="00B50FF6"/>
    <w:rsid w:val="00B62FED"/>
    <w:rsid w:val="00B640BF"/>
    <w:rsid w:val="00B64E77"/>
    <w:rsid w:val="00B74260"/>
    <w:rsid w:val="00B94AB0"/>
    <w:rsid w:val="00BA4C05"/>
    <w:rsid w:val="00BC2F84"/>
    <w:rsid w:val="00BC6152"/>
    <w:rsid w:val="00BE101E"/>
    <w:rsid w:val="00BF11C7"/>
    <w:rsid w:val="00BF7B5C"/>
    <w:rsid w:val="00C03614"/>
    <w:rsid w:val="00C07682"/>
    <w:rsid w:val="00C27207"/>
    <w:rsid w:val="00C32B04"/>
    <w:rsid w:val="00C85EC2"/>
    <w:rsid w:val="00CA26A9"/>
    <w:rsid w:val="00CC15D8"/>
    <w:rsid w:val="00CD1087"/>
    <w:rsid w:val="00CE5F3A"/>
    <w:rsid w:val="00CF1BFE"/>
    <w:rsid w:val="00CF3B18"/>
    <w:rsid w:val="00D00C7E"/>
    <w:rsid w:val="00D01152"/>
    <w:rsid w:val="00D11369"/>
    <w:rsid w:val="00D15A0E"/>
    <w:rsid w:val="00D405DC"/>
    <w:rsid w:val="00D7045D"/>
    <w:rsid w:val="00D73916"/>
    <w:rsid w:val="00D96529"/>
    <w:rsid w:val="00D97861"/>
    <w:rsid w:val="00DA11A9"/>
    <w:rsid w:val="00DA2B5D"/>
    <w:rsid w:val="00DA520D"/>
    <w:rsid w:val="00DB11F5"/>
    <w:rsid w:val="00DB32CC"/>
    <w:rsid w:val="00DB4672"/>
    <w:rsid w:val="00DB4F26"/>
    <w:rsid w:val="00DC19E1"/>
    <w:rsid w:val="00DE3767"/>
    <w:rsid w:val="00DE3FF3"/>
    <w:rsid w:val="00DE4923"/>
    <w:rsid w:val="00DF1EB0"/>
    <w:rsid w:val="00DF5696"/>
    <w:rsid w:val="00E124EB"/>
    <w:rsid w:val="00E13575"/>
    <w:rsid w:val="00E24A04"/>
    <w:rsid w:val="00E32A46"/>
    <w:rsid w:val="00E35FA0"/>
    <w:rsid w:val="00E53B6A"/>
    <w:rsid w:val="00E55574"/>
    <w:rsid w:val="00E61C6B"/>
    <w:rsid w:val="00E620B8"/>
    <w:rsid w:val="00E7191A"/>
    <w:rsid w:val="00E801BF"/>
    <w:rsid w:val="00E86F36"/>
    <w:rsid w:val="00E956AE"/>
    <w:rsid w:val="00E9707D"/>
    <w:rsid w:val="00EA4AAF"/>
    <w:rsid w:val="00EA569F"/>
    <w:rsid w:val="00ED7AEA"/>
    <w:rsid w:val="00EE33E7"/>
    <w:rsid w:val="00EF0863"/>
    <w:rsid w:val="00EF1E33"/>
    <w:rsid w:val="00F23D3A"/>
    <w:rsid w:val="00F251E2"/>
    <w:rsid w:val="00F347B3"/>
    <w:rsid w:val="00F51B62"/>
    <w:rsid w:val="00F625E5"/>
    <w:rsid w:val="00F77E55"/>
    <w:rsid w:val="00F8428D"/>
    <w:rsid w:val="00F92818"/>
    <w:rsid w:val="00FA1D5A"/>
    <w:rsid w:val="00FA40C2"/>
    <w:rsid w:val="00FA6B9E"/>
    <w:rsid w:val="00FB57F4"/>
    <w:rsid w:val="00FB6832"/>
    <w:rsid w:val="00FD6A47"/>
    <w:rsid w:val="00FE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A7C4D42-3182-431B-B7CC-94787DAB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F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1CE8"/>
    <w:pPr>
      <w:ind w:leftChars="200" w:left="480"/>
    </w:pPr>
  </w:style>
  <w:style w:type="paragraph" w:styleId="a4">
    <w:name w:val="header"/>
    <w:basedOn w:val="a"/>
    <w:link w:val="a5"/>
    <w:uiPriority w:val="99"/>
    <w:rsid w:val="000E1CE8"/>
    <w:pPr>
      <w:tabs>
        <w:tab w:val="center" w:pos="4153"/>
        <w:tab w:val="right" w:pos="8306"/>
      </w:tabs>
      <w:snapToGrid w:val="0"/>
    </w:pPr>
    <w:rPr>
      <w:sz w:val="20"/>
      <w:szCs w:val="20"/>
    </w:rPr>
  </w:style>
  <w:style w:type="character" w:customStyle="1" w:styleId="a5">
    <w:name w:val="頁首 字元"/>
    <w:link w:val="a4"/>
    <w:uiPriority w:val="99"/>
    <w:semiHidden/>
    <w:locked/>
    <w:rsid w:val="000E1CE8"/>
    <w:rPr>
      <w:rFonts w:cs="Times New Roman"/>
      <w:sz w:val="20"/>
      <w:szCs w:val="20"/>
    </w:rPr>
  </w:style>
  <w:style w:type="paragraph" w:styleId="a6">
    <w:name w:val="footer"/>
    <w:basedOn w:val="a"/>
    <w:link w:val="a7"/>
    <w:uiPriority w:val="99"/>
    <w:rsid w:val="000E1CE8"/>
    <w:pPr>
      <w:tabs>
        <w:tab w:val="center" w:pos="4153"/>
        <w:tab w:val="right" w:pos="8306"/>
      </w:tabs>
      <w:snapToGrid w:val="0"/>
    </w:pPr>
    <w:rPr>
      <w:sz w:val="20"/>
      <w:szCs w:val="20"/>
    </w:rPr>
  </w:style>
  <w:style w:type="character" w:customStyle="1" w:styleId="a7">
    <w:name w:val="頁尾 字元"/>
    <w:link w:val="a6"/>
    <w:uiPriority w:val="99"/>
    <w:locked/>
    <w:rsid w:val="000E1CE8"/>
    <w:rPr>
      <w:rFonts w:cs="Times New Roman"/>
      <w:sz w:val="20"/>
      <w:szCs w:val="20"/>
    </w:rPr>
  </w:style>
  <w:style w:type="character" w:styleId="a8">
    <w:name w:val="Placeholder Text"/>
    <w:uiPriority w:val="99"/>
    <w:semiHidden/>
    <w:rsid w:val="000A23BC"/>
    <w:rPr>
      <w:rFonts w:cs="Times New Roman"/>
      <w:color w:val="808080"/>
    </w:rPr>
  </w:style>
  <w:style w:type="paragraph" w:styleId="a9">
    <w:name w:val="Balloon Text"/>
    <w:basedOn w:val="a"/>
    <w:link w:val="aa"/>
    <w:uiPriority w:val="99"/>
    <w:semiHidden/>
    <w:rsid w:val="000A23BC"/>
    <w:rPr>
      <w:rFonts w:ascii="Cambria" w:hAnsi="Cambria"/>
      <w:sz w:val="18"/>
      <w:szCs w:val="18"/>
    </w:rPr>
  </w:style>
  <w:style w:type="character" w:customStyle="1" w:styleId="aa">
    <w:name w:val="註解方塊文字 字元"/>
    <w:link w:val="a9"/>
    <w:uiPriority w:val="99"/>
    <w:semiHidden/>
    <w:locked/>
    <w:rsid w:val="000A23BC"/>
    <w:rPr>
      <w:rFonts w:ascii="Cambria" w:eastAsia="新細明體" w:hAnsi="Cambria" w:cs="Times New Roman"/>
      <w:sz w:val="18"/>
      <w:szCs w:val="18"/>
    </w:rPr>
  </w:style>
  <w:style w:type="character" w:styleId="ab">
    <w:name w:val="page number"/>
    <w:basedOn w:val="a0"/>
    <w:rsid w:val="0063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59616">
      <w:marLeft w:val="0"/>
      <w:marRight w:val="0"/>
      <w:marTop w:val="0"/>
      <w:marBottom w:val="0"/>
      <w:divBdr>
        <w:top w:val="none" w:sz="0" w:space="0" w:color="auto"/>
        <w:left w:val="none" w:sz="0" w:space="0" w:color="auto"/>
        <w:bottom w:val="none" w:sz="0" w:space="0" w:color="auto"/>
        <w:right w:val="none" w:sz="0" w:space="0" w:color="auto"/>
      </w:divBdr>
    </w:div>
    <w:div w:id="957759617">
      <w:marLeft w:val="0"/>
      <w:marRight w:val="0"/>
      <w:marTop w:val="0"/>
      <w:marBottom w:val="0"/>
      <w:divBdr>
        <w:top w:val="none" w:sz="0" w:space="0" w:color="auto"/>
        <w:left w:val="none" w:sz="0" w:space="0" w:color="auto"/>
        <w:bottom w:val="none" w:sz="0" w:space="0" w:color="auto"/>
        <w:right w:val="none" w:sz="0" w:space="0" w:color="auto"/>
      </w:divBdr>
    </w:div>
    <w:div w:id="957759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5\&#20844;&#29992;&#21312;\&#32178;&#38913;&#21450;&#22577;&#20462;&#30003;&#35531;&#25910;&#20214;\&#25910;&#20214;&#21312;\01&#35413;&#37969;&#32068;\03-&#31934;&#31070;&#29031;&#35703;&#35413;&#37969;&#35336;&#30059;\01-&#31934;&#31070;&#31185;&#37291;&#38498;&#21450;&#31934;&#31070;&#31185;&#25945;&#23416;&#37291;&#38498;\04-&#31934;&#23560;&#30003;&#22577;&#36039;&#26009;&#34920;&#19978;&#26550;\05-108&#24180;&#31934;&#31070;&#31185;&#37291;&#38498;&#35413;&#37969;&#21487;&#20813;&#35413;&#26781;&#25991;&#30906;&#35469;&#34920;-(&#32317;&#30149;&#24202;100&#24202;&#20197;&#19978;&#37291;&#38498;&#36969;&#2999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BE66-E96A-43C0-AC4B-85147291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05-108年精神科醫院評鑑可免評條文確認表-(總病床100床以上醫院適用).dotx</Template>
  <TotalTime>0</TotalTime>
  <Pages>6</Pages>
  <Words>640</Words>
  <Characters>3652</Characters>
  <Application>Microsoft Office Word</Application>
  <DocSecurity>0</DocSecurity>
  <Lines>30</Lines>
  <Paragraphs>8</Paragraphs>
  <ScaleCrop>false</ScaleCrop>
  <Company>財團法人醫院評鑑暨醫療品質策進會</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潘偉翔專員</dc:creator>
  <cp:keywords/>
  <cp:lastModifiedBy>潘偉翔專員</cp:lastModifiedBy>
  <cp:revision>1</cp:revision>
  <cp:lastPrinted>2012-09-04T05:12:00Z</cp:lastPrinted>
  <dcterms:created xsi:type="dcterms:W3CDTF">2019-05-29T01:24:00Z</dcterms:created>
  <dcterms:modified xsi:type="dcterms:W3CDTF">2019-05-29T01:24:00Z</dcterms:modified>
</cp:coreProperties>
</file>